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Pr="00015EC6" w:rsidRDefault="00B11BD0" w:rsidP="00B11BD0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1.</w:t>
      </w:r>
      <w:r w:rsidR="00CE2EE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 SZAKASZ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 A keverék és a vállalat/vállalkozás azonosítása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B11BD0" w:rsidRPr="00015EC6" w:rsidRDefault="00B11BD0" w:rsidP="00B11BD0">
      <w:pPr>
        <w:tabs>
          <w:tab w:val="left" w:pos="3402"/>
        </w:tabs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B11BD0" w:rsidRPr="00015EC6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Termékazonosító: </w:t>
      </w:r>
    </w:p>
    <w:p w:rsidR="00B11BD0" w:rsidRPr="00015EC6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Kémia jelleg:</w:t>
      </w:r>
      <w:r w:rsidRPr="00015EC6">
        <w:rPr>
          <w:rFonts w:ascii="Century Gothic" w:hAnsi="Century Gothic" w:cs="Arial"/>
          <w:sz w:val="22"/>
          <w:szCs w:val="22"/>
        </w:rPr>
        <w:tab/>
        <w:t>Kőolajszármazék</w:t>
      </w:r>
    </w:p>
    <w:p w:rsidR="00B11BD0" w:rsidRPr="00015EC6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Kereskedelmi meg</w:t>
      </w:r>
      <w:r w:rsidR="00D94924" w:rsidRPr="00015EC6">
        <w:rPr>
          <w:rFonts w:ascii="Century Gothic" w:hAnsi="Century Gothic" w:cs="Arial"/>
          <w:sz w:val="22"/>
          <w:szCs w:val="22"/>
        </w:rPr>
        <w:t>nevezés:</w:t>
      </w:r>
      <w:r w:rsidR="00D94924" w:rsidRPr="00015EC6">
        <w:rPr>
          <w:rFonts w:ascii="Century Gothic" w:hAnsi="Century Gothic" w:cs="Arial"/>
          <w:sz w:val="22"/>
          <w:szCs w:val="22"/>
        </w:rPr>
        <w:tab/>
      </w:r>
      <w:r w:rsidR="008F0DCE" w:rsidRPr="00015EC6">
        <w:rPr>
          <w:rFonts w:ascii="Century Gothic" w:hAnsi="Century Gothic" w:cs="Arial"/>
          <w:sz w:val="22"/>
          <w:szCs w:val="22"/>
        </w:rPr>
        <w:t>SPICA</w:t>
      </w:r>
      <w:r w:rsidR="00D94924" w:rsidRPr="00015EC6">
        <w:rPr>
          <w:rFonts w:ascii="Century Gothic" w:hAnsi="Century Gothic" w:cs="Arial"/>
          <w:sz w:val="22"/>
          <w:szCs w:val="22"/>
        </w:rPr>
        <w:t xml:space="preserve"> 80W</w:t>
      </w:r>
      <w:r w:rsidR="008F0DCE" w:rsidRPr="00015EC6">
        <w:rPr>
          <w:rFonts w:ascii="Century Gothic" w:hAnsi="Century Gothic" w:cs="Arial"/>
          <w:sz w:val="22"/>
          <w:szCs w:val="22"/>
        </w:rPr>
        <w:t>/</w:t>
      </w:r>
      <w:r w:rsidR="00D94924" w:rsidRPr="00015EC6">
        <w:rPr>
          <w:rFonts w:ascii="Century Gothic" w:hAnsi="Century Gothic" w:cs="Arial"/>
          <w:sz w:val="22"/>
          <w:szCs w:val="22"/>
        </w:rPr>
        <w:t>90</w:t>
      </w:r>
    </w:p>
    <w:p w:rsidR="00B11BD0" w:rsidRPr="00015EC6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11BD0" w:rsidRPr="00015EC6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Az anyag/keverék megfelelő azonosított felhasználása, illetve ellenjavallt felhasználása</w:t>
      </w:r>
    </w:p>
    <w:p w:rsidR="00B11BD0" w:rsidRPr="00015EC6" w:rsidRDefault="00B11BD0" w:rsidP="00B11BD0">
      <w:pPr>
        <w:tabs>
          <w:tab w:val="left" w:pos="180"/>
        </w:tabs>
        <w:spacing w:line="200" w:lineRule="exact"/>
        <w:ind w:left="360"/>
        <w:rPr>
          <w:rFonts w:ascii="Century Gothic" w:hAnsi="Century Gothic" w:cs="Arial"/>
          <w:b/>
          <w:sz w:val="22"/>
          <w:szCs w:val="22"/>
        </w:rPr>
      </w:pPr>
    </w:p>
    <w:p w:rsidR="00B11BD0" w:rsidRPr="00015EC6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Legfontosabb azonosított felhasználások</w:t>
      </w:r>
    </w:p>
    <w:p w:rsidR="00B11BD0" w:rsidRPr="00015EC6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Kémiai leírás / al</w:t>
      </w:r>
      <w:r w:rsidR="00D94924" w:rsidRPr="00015EC6">
        <w:rPr>
          <w:rFonts w:ascii="Century Gothic" w:hAnsi="Century Gothic" w:cs="Arial"/>
          <w:sz w:val="22"/>
          <w:szCs w:val="22"/>
        </w:rPr>
        <w:t xml:space="preserve">kalmazás: </w:t>
      </w:r>
      <w:r w:rsidR="00D94924" w:rsidRPr="00015EC6">
        <w:rPr>
          <w:rFonts w:ascii="Century Gothic" w:hAnsi="Century Gothic" w:cs="Arial"/>
          <w:sz w:val="22"/>
          <w:szCs w:val="22"/>
        </w:rPr>
        <w:tab/>
        <w:t>Hajtóműolaj</w:t>
      </w:r>
    </w:p>
    <w:p w:rsidR="00B11BD0" w:rsidRPr="00015EC6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A készítmény felhasználása: </w:t>
      </w:r>
      <w:r w:rsidRPr="00015EC6">
        <w:rPr>
          <w:rFonts w:ascii="Century Gothic" w:hAnsi="Century Gothic" w:cs="Arial"/>
          <w:sz w:val="22"/>
          <w:szCs w:val="22"/>
        </w:rPr>
        <w:tab/>
        <w:t>Ipari és lakossági célra egyaránt</w:t>
      </w:r>
    </w:p>
    <w:p w:rsidR="00B11BD0" w:rsidRPr="00015EC6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Century Gothic" w:hAnsi="Century Gothic" w:cs="Arial"/>
          <w:sz w:val="22"/>
          <w:szCs w:val="22"/>
        </w:rPr>
      </w:pPr>
    </w:p>
    <w:p w:rsidR="00B11BD0" w:rsidRPr="00015EC6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Ellenjavallt felhasználás: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ab/>
      </w:r>
      <w:r w:rsidRPr="00015EC6">
        <w:rPr>
          <w:rFonts w:ascii="Century Gothic" w:hAnsi="Century Gothic" w:cs="Arial"/>
          <w:color w:val="000000" w:themeColor="text1"/>
          <w:sz w:val="22"/>
          <w:szCs w:val="22"/>
        </w:rPr>
        <w:t>nincs</w:t>
      </w:r>
    </w:p>
    <w:p w:rsidR="00B11BD0" w:rsidRPr="00015EC6" w:rsidRDefault="00B11BD0" w:rsidP="00B11BD0">
      <w:pPr>
        <w:tabs>
          <w:tab w:val="left" w:pos="426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</w:p>
    <w:p w:rsidR="00B11BD0" w:rsidRPr="00015EC6" w:rsidRDefault="00B11BD0" w:rsidP="00B11BD0">
      <w:pPr>
        <w:numPr>
          <w:ilvl w:val="1"/>
          <w:numId w:val="5"/>
        </w:numPr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A biztonsági adatlap szállítójának adatai</w:t>
      </w:r>
    </w:p>
    <w:p w:rsidR="00B11BD0" w:rsidRPr="00015EC6" w:rsidRDefault="00015EC6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Forgalmazó</w:t>
      </w:r>
      <w:r w:rsidR="00B11BD0" w:rsidRPr="00015EC6">
        <w:rPr>
          <w:rFonts w:ascii="Century Gothic" w:hAnsi="Century Gothic" w:cs="Arial"/>
          <w:sz w:val="22"/>
          <w:szCs w:val="22"/>
        </w:rPr>
        <w:t xml:space="preserve"> adatai:</w:t>
      </w:r>
      <w:r w:rsidR="00B11BD0" w:rsidRPr="00015EC6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ENERGY-ZOL</w:t>
      </w:r>
      <w:r w:rsidR="00B11BD0" w:rsidRPr="00015EC6">
        <w:rPr>
          <w:rFonts w:ascii="Century Gothic" w:hAnsi="Century Gothic" w:cs="Arial"/>
          <w:sz w:val="22"/>
          <w:szCs w:val="22"/>
        </w:rPr>
        <w:t xml:space="preserve"> KFT.</w:t>
      </w:r>
    </w:p>
    <w:p w:rsidR="00015EC6" w:rsidRDefault="00B11BD0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ab/>
      </w:r>
      <w:r w:rsidR="00015EC6">
        <w:rPr>
          <w:rFonts w:ascii="Century Gothic" w:hAnsi="Century Gothic" w:cs="Arial"/>
          <w:sz w:val="22"/>
          <w:szCs w:val="22"/>
        </w:rPr>
        <w:t>2336</w:t>
      </w:r>
      <w:r w:rsidRPr="00015EC6">
        <w:rPr>
          <w:rFonts w:ascii="Century Gothic" w:hAnsi="Century Gothic" w:cs="Arial"/>
          <w:sz w:val="22"/>
          <w:szCs w:val="22"/>
        </w:rPr>
        <w:t xml:space="preserve"> Duna</w:t>
      </w:r>
      <w:r w:rsidR="00015EC6">
        <w:rPr>
          <w:rFonts w:ascii="Century Gothic" w:hAnsi="Century Gothic" w:cs="Arial"/>
          <w:sz w:val="22"/>
          <w:szCs w:val="22"/>
        </w:rPr>
        <w:t>varsány</w:t>
      </w:r>
      <w:r w:rsidRPr="00015EC6">
        <w:rPr>
          <w:rFonts w:ascii="Century Gothic" w:hAnsi="Century Gothic" w:cs="Arial"/>
          <w:sz w:val="22"/>
          <w:szCs w:val="22"/>
        </w:rPr>
        <w:t xml:space="preserve">, </w:t>
      </w:r>
      <w:r w:rsidR="00015EC6">
        <w:rPr>
          <w:rFonts w:ascii="Century Gothic" w:hAnsi="Century Gothic" w:cs="Arial"/>
          <w:sz w:val="22"/>
          <w:szCs w:val="22"/>
        </w:rPr>
        <w:t>Nagyvarsányi</w:t>
      </w:r>
      <w:r w:rsidRPr="00015EC6">
        <w:rPr>
          <w:rFonts w:ascii="Century Gothic" w:hAnsi="Century Gothic" w:cs="Arial"/>
          <w:sz w:val="22"/>
          <w:szCs w:val="22"/>
        </w:rPr>
        <w:t xml:space="preserve"> utca </w:t>
      </w:r>
      <w:r w:rsidR="00015EC6">
        <w:rPr>
          <w:rFonts w:ascii="Century Gothic" w:hAnsi="Century Gothic" w:cs="Arial"/>
          <w:sz w:val="22"/>
          <w:szCs w:val="22"/>
        </w:rPr>
        <w:t>155</w:t>
      </w:r>
      <w:r w:rsidRPr="00015EC6">
        <w:rPr>
          <w:rFonts w:ascii="Century Gothic" w:hAnsi="Century Gothic" w:cs="Arial"/>
          <w:sz w:val="22"/>
          <w:szCs w:val="22"/>
        </w:rPr>
        <w:t xml:space="preserve">. </w:t>
      </w:r>
    </w:p>
    <w:p w:rsidR="00015EC6" w:rsidRDefault="00015EC6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B11BD0" w:rsidRPr="00015EC6">
        <w:rPr>
          <w:rFonts w:ascii="Century Gothic" w:hAnsi="Century Gothic" w:cs="Arial"/>
          <w:sz w:val="22"/>
          <w:szCs w:val="22"/>
        </w:rPr>
        <w:t xml:space="preserve">Tel: </w:t>
      </w:r>
      <w:r>
        <w:rPr>
          <w:rFonts w:ascii="Century Gothic" w:hAnsi="Century Gothic" w:cs="Arial"/>
          <w:sz w:val="22"/>
          <w:szCs w:val="22"/>
        </w:rPr>
        <w:t>+36 24 511 140</w:t>
      </w:r>
    </w:p>
    <w:p w:rsidR="00B11BD0" w:rsidRPr="00015EC6" w:rsidRDefault="00015EC6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B11BD0" w:rsidRPr="00015EC6"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 xml:space="preserve"> energyzol@invitel</w:t>
      </w:r>
      <w:r w:rsidR="00B11BD0" w:rsidRPr="00015EC6">
        <w:rPr>
          <w:rFonts w:ascii="Century Gothic" w:hAnsi="Century Gothic" w:cs="Arial"/>
          <w:sz w:val="22"/>
          <w:szCs w:val="22"/>
        </w:rPr>
        <w:t>.hu</w:t>
      </w:r>
    </w:p>
    <w:p w:rsidR="00B11BD0" w:rsidRPr="00015EC6" w:rsidRDefault="00B11BD0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ab/>
        <w:t>Biztonsági adatlapért felelős</w:t>
      </w:r>
      <w:r w:rsidR="00015EC6">
        <w:rPr>
          <w:rFonts w:ascii="Century Gothic" w:hAnsi="Century Gothic" w:cs="Arial"/>
          <w:sz w:val="22"/>
          <w:szCs w:val="22"/>
        </w:rPr>
        <w:t xml:space="preserve"> személy</w:t>
      </w:r>
      <w:r w:rsidRPr="00015EC6">
        <w:rPr>
          <w:rFonts w:ascii="Century Gothic" w:hAnsi="Century Gothic" w:cs="Arial"/>
          <w:sz w:val="22"/>
          <w:szCs w:val="22"/>
        </w:rPr>
        <w:t>:</w:t>
      </w:r>
    </w:p>
    <w:p w:rsidR="00B11BD0" w:rsidRPr="00015EC6" w:rsidRDefault="00B11BD0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ab/>
      </w:r>
      <w:r w:rsidR="00015EC6">
        <w:rPr>
          <w:rFonts w:ascii="Century Gothic" w:hAnsi="Century Gothic" w:cs="Arial"/>
          <w:sz w:val="22"/>
          <w:szCs w:val="22"/>
        </w:rPr>
        <w:t>Zoltán Attila</w:t>
      </w:r>
      <w:r w:rsidRPr="00015EC6">
        <w:rPr>
          <w:rFonts w:ascii="Century Gothic" w:hAnsi="Century Gothic" w:cs="Arial"/>
          <w:sz w:val="22"/>
          <w:szCs w:val="22"/>
        </w:rPr>
        <w:t xml:space="preserve"> Tel: </w:t>
      </w:r>
      <w:r w:rsidR="00015EC6">
        <w:rPr>
          <w:rFonts w:ascii="Century Gothic" w:hAnsi="Century Gothic" w:cs="Arial"/>
          <w:sz w:val="22"/>
          <w:szCs w:val="22"/>
        </w:rPr>
        <w:t>+36 30 940 0993</w:t>
      </w:r>
    </w:p>
    <w:p w:rsidR="00B11BD0" w:rsidRPr="00015EC6" w:rsidRDefault="00B11BD0" w:rsidP="00B11BD0">
      <w:pPr>
        <w:tabs>
          <w:tab w:val="left" w:pos="2552"/>
        </w:tabs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</w:p>
    <w:p w:rsidR="00B11BD0" w:rsidRPr="00015EC6" w:rsidRDefault="00B11BD0" w:rsidP="00B11BD0">
      <w:pPr>
        <w:numPr>
          <w:ilvl w:val="1"/>
          <w:numId w:val="5"/>
        </w:numPr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Sürgősségi telefonszám</w:t>
      </w:r>
    </w:p>
    <w:p w:rsidR="00B11BD0" w:rsidRPr="00015EC6" w:rsidRDefault="00B11BD0" w:rsidP="00B11BD0">
      <w:pPr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Egészségügyi Toxikológiai Tájékoz</w:t>
      </w:r>
      <w:r w:rsidR="00CE2EEE" w:rsidRPr="00015EC6">
        <w:rPr>
          <w:rFonts w:ascii="Century Gothic" w:hAnsi="Century Gothic" w:cs="Arial"/>
          <w:sz w:val="22"/>
          <w:szCs w:val="22"/>
        </w:rPr>
        <w:t>tató Szolgálat (ETTSZ)</w:t>
      </w:r>
    </w:p>
    <w:p w:rsidR="00CE2EEE" w:rsidRPr="00015EC6" w:rsidRDefault="00CE2EEE" w:rsidP="00B11BD0">
      <w:pPr>
        <w:spacing w:line="200" w:lineRule="exact"/>
        <w:ind w:left="360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Telefon: +36-1-476-6464 (8-16 óráig), +36-80-201-199 (éjjel-nappal hívható)</w:t>
      </w:r>
    </w:p>
    <w:p w:rsidR="00390BC1" w:rsidRPr="00015EC6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390BC1" w:rsidRPr="00015EC6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3E2F9C" w:rsidRPr="00015EC6" w:rsidRDefault="003E2F9C" w:rsidP="003E2F9C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2</w:t>
      </w:r>
      <w:r w:rsidR="008F0E8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.</w:t>
      </w:r>
      <w:r w:rsidR="00CE2EE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B11BD0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A</w:t>
      </w:r>
      <w:r w:rsidR="00390BC1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 veszély meghatározása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A500B7" w:rsidRPr="00015EC6" w:rsidRDefault="00A500B7" w:rsidP="00A500B7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A500B7" w:rsidRPr="00015EC6" w:rsidRDefault="00A500B7" w:rsidP="00A500B7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2.1. A</w:t>
      </w:r>
      <w:r w:rsidR="00CE2EEE" w:rsidRPr="00015EC6">
        <w:rPr>
          <w:rFonts w:ascii="Century Gothic" w:hAnsi="Century Gothic" w:cs="Arial"/>
          <w:b/>
          <w:color w:val="7030A0"/>
          <w:sz w:val="22"/>
          <w:szCs w:val="22"/>
        </w:rPr>
        <w:t>z anyag vagy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 keverék osztályozása</w:t>
      </w:r>
    </w:p>
    <w:p w:rsidR="008F0E8E" w:rsidRPr="00015EC6" w:rsidRDefault="008F0E8E" w:rsidP="008F0E8E">
      <w:pPr>
        <w:tabs>
          <w:tab w:val="left" w:pos="0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A keverék osztályozása az 1999/45/EK és a 44/200 (XII.27.) EüM rendelet alapján</w:t>
      </w:r>
    </w:p>
    <w:p w:rsidR="008F0E8E" w:rsidRPr="00015EC6" w:rsidRDefault="008F0E8E" w:rsidP="008F0E8E">
      <w:pPr>
        <w:tabs>
          <w:tab w:val="left" w:pos="0"/>
          <w:tab w:val="left" w:pos="3686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Egészségügyi szempontok:</w:t>
      </w:r>
      <w:r w:rsidRPr="00015EC6">
        <w:rPr>
          <w:rFonts w:ascii="Century Gothic" w:hAnsi="Century Gothic" w:cs="Arial"/>
          <w:sz w:val="22"/>
          <w:szCs w:val="22"/>
        </w:rPr>
        <w:tab/>
        <w:t>nincs besorolva</w:t>
      </w:r>
    </w:p>
    <w:p w:rsidR="008F0E8E" w:rsidRPr="00015EC6" w:rsidRDefault="008F0E8E" w:rsidP="008F0E8E">
      <w:pPr>
        <w:tabs>
          <w:tab w:val="left" w:pos="0"/>
          <w:tab w:val="left" w:pos="3686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Biztonságtechnikai szempontok:</w:t>
      </w:r>
      <w:r w:rsidRPr="00015EC6">
        <w:rPr>
          <w:rFonts w:ascii="Century Gothic" w:hAnsi="Century Gothic" w:cs="Arial"/>
          <w:sz w:val="22"/>
          <w:szCs w:val="22"/>
        </w:rPr>
        <w:tab/>
        <w:t>nincs besorolva</w:t>
      </w:r>
    </w:p>
    <w:p w:rsidR="008F0E8E" w:rsidRPr="00015EC6" w:rsidRDefault="008F0E8E" w:rsidP="008F0E8E">
      <w:pPr>
        <w:tabs>
          <w:tab w:val="left" w:pos="0"/>
          <w:tab w:val="left" w:pos="3686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Környezetvédelmi szempontok:</w:t>
      </w:r>
      <w:r w:rsidRPr="00015EC6">
        <w:rPr>
          <w:rFonts w:ascii="Century Gothic" w:hAnsi="Century Gothic" w:cs="Arial"/>
          <w:sz w:val="22"/>
          <w:szCs w:val="22"/>
        </w:rPr>
        <w:tab/>
        <w:t>nincs besorolva</w:t>
      </w:r>
    </w:p>
    <w:p w:rsidR="008F0E8E" w:rsidRPr="00015EC6" w:rsidRDefault="008F0E8E" w:rsidP="008F0E8E">
      <w:pPr>
        <w:tabs>
          <w:tab w:val="left" w:pos="0"/>
          <w:tab w:val="left" w:pos="3686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8F0E8E" w:rsidRPr="00015EC6" w:rsidRDefault="008F0E8E" w:rsidP="008F0E8E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2.2. Címkézési elemek</w:t>
      </w:r>
    </w:p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Veszélyszimbólum: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R mondatok: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S mondatok: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Egyéb: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8F0E8E" w:rsidRPr="00015EC6" w:rsidRDefault="008F0E8E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2.3. Egyéb veszélyek</w:t>
      </w:r>
      <w:r w:rsidR="00C74084" w:rsidRPr="00015EC6">
        <w:rPr>
          <w:rFonts w:ascii="Century Gothic" w:hAnsi="Century Gothic" w:cs="Arial"/>
          <w:sz w:val="22"/>
          <w:szCs w:val="22"/>
        </w:rPr>
        <w:tab/>
      </w:r>
      <w:r w:rsidR="00385B64" w:rsidRPr="00015EC6">
        <w:rPr>
          <w:rFonts w:ascii="Century Gothic" w:hAnsi="Century Gothic" w:cs="Arial"/>
          <w:sz w:val="22"/>
          <w:szCs w:val="22"/>
        </w:rPr>
        <w:t xml:space="preserve">a vízfelszínen </w:t>
      </w:r>
      <w:r w:rsidR="00657A38" w:rsidRPr="00015EC6">
        <w:rPr>
          <w:rFonts w:ascii="Century Gothic" w:hAnsi="Century Gothic" w:cs="Arial"/>
          <w:sz w:val="22"/>
          <w:szCs w:val="22"/>
        </w:rPr>
        <w:t>olajfilmet képez, ami meggátolhatja az élől</w:t>
      </w:r>
      <w:r w:rsidR="00657A38" w:rsidRPr="00015EC6">
        <w:rPr>
          <w:rFonts w:ascii="Century Gothic" w:hAnsi="Century Gothic" w:cs="Arial"/>
          <w:sz w:val="22"/>
          <w:szCs w:val="22"/>
        </w:rPr>
        <w:t>é</w:t>
      </w:r>
      <w:r w:rsidR="00657A38" w:rsidRPr="00015EC6">
        <w:rPr>
          <w:rFonts w:ascii="Century Gothic" w:hAnsi="Century Gothic" w:cs="Arial"/>
          <w:sz w:val="22"/>
          <w:szCs w:val="22"/>
        </w:rPr>
        <w:t>nyek oxigénhez jutását</w:t>
      </w:r>
    </w:p>
    <w:p w:rsidR="00BB2909" w:rsidRPr="00015EC6" w:rsidRDefault="00015EC6" w:rsidP="00015EC6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  <w:t xml:space="preserve">  </w:t>
      </w:r>
      <w:r w:rsidR="00BB2909" w:rsidRPr="00015EC6">
        <w:rPr>
          <w:rFonts w:ascii="Century Gothic" w:hAnsi="Century Gothic" w:cs="Arial"/>
          <w:sz w:val="22"/>
          <w:szCs w:val="22"/>
        </w:rPr>
        <w:t>Az anyag meghatározása az 1907/2006. EK (REACH) rendelet PBT anyagok</w:t>
      </w:r>
      <w:r>
        <w:rPr>
          <w:rFonts w:ascii="Century Gothic" w:hAnsi="Century Gothic" w:cs="Arial"/>
          <w:sz w:val="22"/>
          <w:szCs w:val="22"/>
        </w:rPr>
        <w:t xml:space="preserve"> azonosítási      </w:t>
      </w:r>
      <w:r w:rsidR="00BB2909" w:rsidRPr="00015EC6">
        <w:rPr>
          <w:rFonts w:ascii="Century Gothic" w:hAnsi="Century Gothic" w:cs="Arial"/>
          <w:sz w:val="22"/>
          <w:szCs w:val="22"/>
        </w:rPr>
        <w:t>kritériumairól szóló XIII. mellékletnek megfelelően: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Nem alkalmazható.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P: (perzisztens) : nem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B: (bioakkumulatív): nem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T: (mérgező): nem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anyag meghatározása az 1907/2006. EK (REACH) rendelet vPBT anyagok azonosítási kr</w:t>
      </w:r>
      <w:r w:rsidRPr="00015EC6">
        <w:rPr>
          <w:rFonts w:ascii="Century Gothic" w:hAnsi="Century Gothic" w:cs="Arial"/>
          <w:sz w:val="22"/>
          <w:szCs w:val="22"/>
        </w:rPr>
        <w:t>i</w:t>
      </w:r>
      <w:r w:rsidRPr="00015EC6">
        <w:rPr>
          <w:rFonts w:ascii="Century Gothic" w:hAnsi="Century Gothic" w:cs="Arial"/>
          <w:sz w:val="22"/>
          <w:szCs w:val="22"/>
        </w:rPr>
        <w:t>tériumairól szóló XIII. mellékletnek megfelelően: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Nem alkalmazható.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vP: (nagyon perzisztens) : nem</w:t>
      </w:r>
    </w:p>
    <w:p w:rsidR="004A662C" w:rsidRPr="00015EC6" w:rsidRDefault="00BB2909" w:rsidP="00015EC6">
      <w:pPr>
        <w:tabs>
          <w:tab w:val="left" w:pos="180"/>
          <w:tab w:val="left" w:pos="3686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vB: (nagyon bioakkumulatív): nem</w:t>
      </w:r>
    </w:p>
    <w:p w:rsidR="006E4F47" w:rsidRDefault="006E4F47" w:rsidP="008F0E8E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</w:pPr>
    </w:p>
    <w:p w:rsidR="008F0E8E" w:rsidRPr="00015EC6" w:rsidRDefault="008F0E8E" w:rsidP="008F0E8E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lastRenderedPageBreak/>
        <w:t>3.</w:t>
      </w:r>
      <w:r w:rsidR="00CE2EE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SZAKASZ: </w:t>
      </w:r>
      <w:r w:rsidR="009E1FD0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Összetétel vagy az összetevőkre vonatkozó adatok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8F0E8E" w:rsidRPr="00015EC6" w:rsidRDefault="00BB2909" w:rsidP="008F0E8E">
      <w:pPr>
        <w:spacing w:line="300" w:lineRule="exact"/>
        <w:rPr>
          <w:rFonts w:ascii="Century Gothic" w:hAnsi="Century Gothic" w:cs="Arial"/>
          <w:b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3.1. Anyagok:</w:t>
      </w:r>
      <w:r w:rsidRPr="00015EC6">
        <w:rPr>
          <w:rFonts w:ascii="Century Gothic" w:hAnsi="Century Gothic" w:cs="Arial"/>
          <w:b/>
          <w:sz w:val="22"/>
          <w:szCs w:val="22"/>
        </w:rPr>
        <w:t xml:space="preserve"> nem alkalmazható</w:t>
      </w:r>
    </w:p>
    <w:p w:rsidR="00BB2909" w:rsidRPr="00015EC6" w:rsidRDefault="00BB2909" w:rsidP="008F0E8E">
      <w:pPr>
        <w:spacing w:line="3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3.2. Keverékek</w:t>
      </w:r>
    </w:p>
    <w:p w:rsidR="00BB2909" w:rsidRPr="00015EC6" w:rsidRDefault="00BB2909" w:rsidP="008F0E8E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1162"/>
        <w:gridCol w:w="2090"/>
        <w:gridCol w:w="2090"/>
        <w:gridCol w:w="1277"/>
      </w:tblGrid>
      <w:tr w:rsidR="002568E4" w:rsidRPr="00015EC6" w:rsidTr="00192393">
        <w:tc>
          <w:tcPr>
            <w:tcW w:w="2487" w:type="dxa"/>
            <w:shd w:val="clear" w:color="auto" w:fill="BFBFBF"/>
          </w:tcPr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Azonos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í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tó sz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á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mok</w:t>
            </w:r>
          </w:p>
        </w:tc>
        <w:tc>
          <w:tcPr>
            <w:tcW w:w="2268" w:type="dxa"/>
            <w:shd w:val="clear" w:color="auto" w:fill="BFBFBF"/>
          </w:tcPr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Veszélyjelek és kockáz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a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ti/figyelmeztető mondatok (67/548/EK)</w:t>
            </w:r>
          </w:p>
        </w:tc>
        <w:tc>
          <w:tcPr>
            <w:tcW w:w="2234" w:type="dxa"/>
            <w:shd w:val="clear" w:color="auto" w:fill="BFBFBF"/>
          </w:tcPr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Veszélyjelek és kockáz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a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ti/figyelmeztető mondatok (1272/2008/EK) CLP</w:t>
            </w:r>
          </w:p>
        </w:tc>
        <w:tc>
          <w:tcPr>
            <w:tcW w:w="1150" w:type="dxa"/>
            <w:shd w:val="clear" w:color="auto" w:fill="BFBFBF"/>
          </w:tcPr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Koncen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Pr="00015EC6">
              <w:rPr>
                <w:rFonts w:ascii="Century Gothic" w:hAnsi="Century Gothic" w:cs="Arial"/>
                <w:sz w:val="22"/>
                <w:szCs w:val="22"/>
              </w:rPr>
              <w:t>ráció</w:t>
            </w:r>
          </w:p>
        </w:tc>
      </w:tr>
      <w:tr w:rsidR="00286F68" w:rsidRPr="00015EC6" w:rsidTr="00192393">
        <w:tc>
          <w:tcPr>
            <w:tcW w:w="2487" w:type="dxa"/>
            <w:shd w:val="clear" w:color="auto" w:fill="auto"/>
          </w:tcPr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 xml:space="preserve">Distillates (petroleum), hydrotreatedheavyparaffinic; </w:t>
            </w: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Párlatok, hidrogénnel kezelt nehéz paraffinos</w:t>
            </w: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vagy</w:t>
            </w: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Lubricatingoils (petroleum), C 20-50, hydrotreatedneutraloil-based;</w:t>
            </w: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Kenőolajok (ásványolaj)</w:t>
            </w:r>
          </w:p>
          <w:p w:rsidR="00CE2EEE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C20-C50</w:t>
            </w:r>
          </w:p>
          <w:p w:rsidR="00286F68" w:rsidRPr="00015EC6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hidrogénnel kezelt semleges olaj alapú</w:t>
            </w:r>
          </w:p>
        </w:tc>
        <w:tc>
          <w:tcPr>
            <w:tcW w:w="2049" w:type="dxa"/>
            <w:shd w:val="clear" w:color="auto" w:fill="auto"/>
          </w:tcPr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CAS: 64742-54-7</w:t>
            </w: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EINECS: 265-157-1</w:t>
            </w: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Reg. no: 01-2119484627-25</w:t>
            </w: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CAS: 72623-87-1</w:t>
            </w: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EINECS: 276-738-4</w:t>
            </w:r>
          </w:p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Reg. no: 01-2119474889-13</w:t>
            </w:r>
          </w:p>
        </w:tc>
        <w:tc>
          <w:tcPr>
            <w:tcW w:w="2268" w:type="dxa"/>
            <w:shd w:val="clear" w:color="auto" w:fill="auto"/>
          </w:tcPr>
          <w:p w:rsidR="00286F68" w:rsidRPr="00015EC6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nincs</w:t>
            </w:r>
          </w:p>
        </w:tc>
        <w:tc>
          <w:tcPr>
            <w:tcW w:w="2234" w:type="dxa"/>
          </w:tcPr>
          <w:p w:rsidR="00286F68" w:rsidRPr="00015EC6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Asp. Tox. 1;</w:t>
            </w:r>
            <w:r w:rsidR="00286F68" w:rsidRPr="00015EC6">
              <w:rPr>
                <w:rFonts w:ascii="Century Gothic" w:hAnsi="Century Gothic" w:cs="Arial"/>
                <w:sz w:val="22"/>
                <w:szCs w:val="22"/>
              </w:rPr>
              <w:t xml:space="preserve"> H304</w:t>
            </w:r>
          </w:p>
        </w:tc>
        <w:tc>
          <w:tcPr>
            <w:tcW w:w="1150" w:type="dxa"/>
            <w:shd w:val="clear" w:color="auto" w:fill="auto"/>
          </w:tcPr>
          <w:p w:rsidR="00286F68" w:rsidRPr="00015EC6" w:rsidRDefault="00B367DD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0-30</w:t>
            </w:r>
            <w:r w:rsidR="00286F68" w:rsidRPr="00015EC6">
              <w:rPr>
                <w:rFonts w:ascii="Century Gothic" w:hAnsi="Century Gothic" w:cs="Arial"/>
                <w:sz w:val="22"/>
                <w:szCs w:val="22"/>
              </w:rPr>
              <w:t>%</w:t>
            </w:r>
          </w:p>
        </w:tc>
      </w:tr>
      <w:tr w:rsidR="002568E4" w:rsidRPr="00015EC6" w:rsidTr="00192393">
        <w:tc>
          <w:tcPr>
            <w:tcW w:w="2487" w:type="dxa"/>
            <w:shd w:val="clear" w:color="auto" w:fill="auto"/>
          </w:tcPr>
          <w:p w:rsidR="00D94924" w:rsidRPr="00015EC6" w:rsidRDefault="00D94924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reactionproducts of bis(4-</w:t>
            </w:r>
          </w:p>
          <w:p w:rsidR="00D94924" w:rsidRPr="00015EC6" w:rsidRDefault="00B367DD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 xml:space="preserve">methylpentan-2-yl) </w:t>
            </w:r>
            <w:r w:rsidR="00D94924" w:rsidRPr="00015EC6">
              <w:rPr>
                <w:rFonts w:ascii="Century Gothic" w:hAnsi="Century Gothic" w:cs="Arial"/>
                <w:sz w:val="22"/>
                <w:szCs w:val="22"/>
              </w:rPr>
              <w:t>dithiophosphoricacidwithphosphorusoxide, propylene</w:t>
            </w:r>
          </w:p>
          <w:p w:rsidR="00D94924" w:rsidRPr="00015EC6" w:rsidRDefault="00D94924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oxide and amines, C12-14 alkyl</w:t>
            </w:r>
          </w:p>
          <w:p w:rsidR="002568E4" w:rsidRPr="00015EC6" w:rsidRDefault="00D94924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(branched)</w:t>
            </w:r>
          </w:p>
          <w:p w:rsidR="00B367DD" w:rsidRPr="00015EC6" w:rsidRDefault="00B367DD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</w:p>
          <w:p w:rsidR="00B367DD" w:rsidRPr="00015EC6" w:rsidRDefault="00B367DD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Reakciótermékek (4-metil-pentán-2-yl)</w:t>
            </w:r>
          </w:p>
          <w:p w:rsidR="00B367DD" w:rsidRPr="00015EC6" w:rsidRDefault="00B367DD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dithiofoszforsav foszfor oxiddal, propilén-oxid és aminok, C12-14 alkil</w:t>
            </w:r>
          </w:p>
          <w:p w:rsidR="00B367DD" w:rsidRPr="00015EC6" w:rsidRDefault="00B367DD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elágazó</w:t>
            </w:r>
          </w:p>
        </w:tc>
        <w:tc>
          <w:tcPr>
            <w:tcW w:w="2049" w:type="dxa"/>
            <w:shd w:val="clear" w:color="auto" w:fill="auto"/>
          </w:tcPr>
          <w:p w:rsidR="002568E4" w:rsidRPr="00015EC6" w:rsidRDefault="00B367DD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CAS: 91-745-46-9</w:t>
            </w:r>
          </w:p>
          <w:p w:rsidR="002568E4" w:rsidRPr="00015EC6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 xml:space="preserve">EINECS: </w:t>
            </w:r>
            <w:r w:rsidR="00286F68" w:rsidRPr="00015EC6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B367DD" w:rsidRPr="00015EC6">
              <w:rPr>
                <w:rFonts w:ascii="Century Gothic" w:hAnsi="Century Gothic" w:cs="Arial"/>
                <w:sz w:val="22"/>
                <w:szCs w:val="22"/>
              </w:rPr>
              <w:t>94-716-2</w:t>
            </w:r>
          </w:p>
          <w:p w:rsidR="00192393" w:rsidRPr="00015EC6" w:rsidRDefault="0019239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Reg.no: 01-2119493620-38</w:t>
            </w:r>
          </w:p>
        </w:tc>
        <w:tc>
          <w:tcPr>
            <w:tcW w:w="2268" w:type="dxa"/>
            <w:shd w:val="clear" w:color="auto" w:fill="auto"/>
          </w:tcPr>
          <w:p w:rsidR="002568E4" w:rsidRPr="00015EC6" w:rsidRDefault="0019239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Xi, Xn, N, R22, R41, R43, R51/53</w:t>
            </w:r>
          </w:p>
          <w:p w:rsidR="00C61A8F" w:rsidRPr="00015EC6" w:rsidRDefault="00C61A8F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81146</wp:posOffset>
                  </wp:positionV>
                  <wp:extent cx="334645" cy="413385"/>
                  <wp:effectExtent l="0" t="0" r="8255" b="571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5EC6">
              <w:rPr>
                <w:rFonts w:ascii="Century Gothic" w:hAnsi="Century Gothic" w:cs="Arial"/>
                <w:b/>
                <w:i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75699</wp:posOffset>
                  </wp:positionV>
                  <wp:extent cx="351790" cy="439420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n ártalma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5EC6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67945</wp:posOffset>
                  </wp:positionV>
                  <wp:extent cx="359410" cy="434975"/>
                  <wp:effectExtent l="0" t="0" r="2540" b="3175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1A8F" w:rsidRPr="00015EC6" w:rsidRDefault="00C61A8F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192393" w:rsidRPr="00015EC6" w:rsidRDefault="00192393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AcuteTox. 4; H302</w:t>
            </w:r>
          </w:p>
          <w:p w:rsidR="00192393" w:rsidRPr="00015EC6" w:rsidRDefault="00192393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AquaticChronic 2; H411</w:t>
            </w:r>
          </w:p>
          <w:p w:rsidR="00192393" w:rsidRPr="00015EC6" w:rsidRDefault="00192393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EyeDam. 1; H318</w:t>
            </w:r>
          </w:p>
          <w:p w:rsidR="00192393" w:rsidRPr="00015EC6" w:rsidRDefault="00192393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Flam. Liq. 3; H226</w:t>
            </w:r>
          </w:p>
          <w:p w:rsidR="000F2F86" w:rsidRPr="00015EC6" w:rsidRDefault="00192393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SkinSens. 1; H317</w:t>
            </w:r>
          </w:p>
        </w:tc>
        <w:tc>
          <w:tcPr>
            <w:tcW w:w="1150" w:type="dxa"/>
            <w:shd w:val="clear" w:color="auto" w:fill="auto"/>
          </w:tcPr>
          <w:p w:rsidR="002568E4" w:rsidRPr="00015EC6" w:rsidRDefault="00192393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1,0-2,5</w:t>
            </w:r>
            <w:r w:rsidR="00286F68" w:rsidRPr="00015EC6">
              <w:rPr>
                <w:rFonts w:ascii="Century Gothic" w:hAnsi="Century Gothic" w:cs="Arial"/>
                <w:sz w:val="22"/>
                <w:szCs w:val="22"/>
              </w:rPr>
              <w:t>%</w:t>
            </w:r>
          </w:p>
        </w:tc>
      </w:tr>
    </w:tbl>
    <w:p w:rsidR="008F0E8E" w:rsidRPr="00015EC6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CE2EEE" w:rsidRPr="00015EC6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keverékben lévő anyagok nem tartalmaznak 3% felett  DMSO-extraktumot.</w:t>
      </w:r>
    </w:p>
    <w:p w:rsidR="00CE2EEE" w:rsidRPr="00015EC6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anyagok osztályozására vonatkozó adatok a gyártótól átvett adatok.</w:t>
      </w:r>
    </w:p>
    <w:p w:rsidR="00BB2909" w:rsidRPr="00015EC6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R-, H-mondatok szövegét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015EC6" w:rsidRDefault="00015EC6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015EC6" w:rsidRDefault="00015EC6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015EC6" w:rsidRDefault="00015EC6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015EC6" w:rsidRDefault="00015EC6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015EC6" w:rsidRPr="00015EC6" w:rsidRDefault="00015EC6" w:rsidP="008F0E8E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F775AD" w:rsidRPr="00015EC6" w:rsidRDefault="00CE2EEE" w:rsidP="00F775AD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4.SZAKASZ</w:t>
      </w:r>
      <w:r w:rsidR="00C74084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="00F775AD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Elsősegély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-</w:t>
      </w:r>
      <w:r w:rsidR="00F775AD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nyújtás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i intézkedések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F775AD" w:rsidRPr="00015EC6" w:rsidRDefault="00F775AD" w:rsidP="00F775AD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F775AD" w:rsidRPr="00015EC6" w:rsidRDefault="002C649B" w:rsidP="00F775AD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4.1. Az elsősegély-</w:t>
      </w:r>
      <w:r w:rsidR="00F775AD" w:rsidRPr="00015EC6">
        <w:rPr>
          <w:rFonts w:ascii="Century Gothic" w:hAnsi="Century Gothic" w:cs="Arial"/>
          <w:b/>
          <w:color w:val="7030A0"/>
          <w:sz w:val="22"/>
          <w:szCs w:val="22"/>
        </w:rPr>
        <w:t>nyújtási intézkedések ismertetése</w:t>
      </w:r>
    </w:p>
    <w:p w:rsidR="00F775AD" w:rsidRPr="00015EC6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Belégzés esetén: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74084" w:rsidRPr="00015EC6">
        <w:rPr>
          <w:rFonts w:ascii="Century Gothic" w:hAnsi="Century Gothic" w:cs="Arial"/>
          <w:sz w:val="22"/>
          <w:szCs w:val="22"/>
        </w:rPr>
        <w:t>vigyük az érintett személyt friss levegőre, rosszullét esetén hívjunk orvost</w:t>
      </w:r>
    </w:p>
    <w:p w:rsidR="004D032B" w:rsidRPr="00015EC6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Bőrrel érintkezés esetén:</w:t>
      </w:r>
      <w:r w:rsidRPr="00015EC6">
        <w:rPr>
          <w:rFonts w:ascii="Century Gothic" w:hAnsi="Century Gothic" w:cs="Arial"/>
          <w:sz w:val="22"/>
          <w:szCs w:val="22"/>
        </w:rPr>
        <w:tab/>
        <w:t>szappanos vízzel le kell mosni</w:t>
      </w:r>
    </w:p>
    <w:p w:rsidR="004D032B" w:rsidRPr="00015EC6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Szembe kerülés esetén:</w:t>
      </w:r>
      <w:r w:rsidRPr="00015EC6">
        <w:rPr>
          <w:rFonts w:ascii="Century Gothic" w:hAnsi="Century Gothic" w:cs="Arial"/>
          <w:sz w:val="22"/>
          <w:szCs w:val="22"/>
        </w:rPr>
        <w:tab/>
        <w:t>a szembe került anyagot bő vízzel mossuk ki 10-15 percen keres</w:t>
      </w:r>
      <w:r w:rsidRPr="00015EC6">
        <w:rPr>
          <w:rFonts w:ascii="Century Gothic" w:hAnsi="Century Gothic" w:cs="Arial"/>
          <w:sz w:val="22"/>
          <w:szCs w:val="22"/>
        </w:rPr>
        <w:t>z</w:t>
      </w:r>
      <w:r w:rsidRPr="00015EC6">
        <w:rPr>
          <w:rFonts w:ascii="Century Gothic" w:hAnsi="Century Gothic" w:cs="Arial"/>
          <w:sz w:val="22"/>
          <w:szCs w:val="22"/>
        </w:rPr>
        <w:t>tül</w:t>
      </w:r>
      <w:r w:rsidR="00C74084" w:rsidRPr="00015EC6">
        <w:rPr>
          <w:rFonts w:ascii="Century Gothic" w:hAnsi="Century Gothic" w:cs="Arial"/>
          <w:sz w:val="22"/>
          <w:szCs w:val="22"/>
        </w:rPr>
        <w:t>, panasz esetén forduljunk orvoshoz</w:t>
      </w:r>
    </w:p>
    <w:p w:rsidR="004D032B" w:rsidRPr="00015EC6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Lenyelés esetén:</w:t>
      </w:r>
      <w:r w:rsidRPr="00015EC6">
        <w:rPr>
          <w:rFonts w:ascii="Century Gothic" w:hAnsi="Century Gothic" w:cs="Arial"/>
          <w:sz w:val="22"/>
          <w:szCs w:val="22"/>
        </w:rPr>
        <w:tab/>
        <w:t>tilos hányatni, a szájüreget tisztítsuk ki és forduljunk orvoshoz</w:t>
      </w:r>
    </w:p>
    <w:p w:rsidR="00A83521" w:rsidRPr="00015EC6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A83521" w:rsidRPr="00015EC6" w:rsidRDefault="00A83521" w:rsidP="00A83521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4.2. A legfontosabb – akut és késleltetett – tünetek és hatások</w:t>
      </w:r>
    </w:p>
    <w:p w:rsidR="00A83521" w:rsidRPr="00015EC6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Nincs információ</w:t>
      </w:r>
    </w:p>
    <w:p w:rsidR="00A83521" w:rsidRPr="00015EC6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A83521" w:rsidRPr="00015EC6" w:rsidRDefault="00A83521" w:rsidP="00A83521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4.3. A szü</w:t>
      </w:r>
      <w:r w:rsidR="00472B46"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kséges azonnali orvosi ellátás 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és különleges ellátás jelzése</w:t>
      </w:r>
    </w:p>
    <w:p w:rsidR="00C911BC" w:rsidRPr="00015EC6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Nincs információ</w:t>
      </w:r>
    </w:p>
    <w:p w:rsidR="00C911BC" w:rsidRPr="00015EC6" w:rsidRDefault="00C911BC">
      <w:pPr>
        <w:rPr>
          <w:rFonts w:ascii="Century Gothic" w:hAnsi="Century Gothic" w:cs="Arial"/>
          <w:sz w:val="22"/>
          <w:szCs w:val="22"/>
        </w:rPr>
      </w:pPr>
    </w:p>
    <w:p w:rsidR="00A83521" w:rsidRPr="00015EC6" w:rsidRDefault="00D92784" w:rsidP="00A83521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5</w:t>
      </w:r>
      <w:r w:rsidR="00A83521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. </w:t>
      </w:r>
      <w:r w:rsidR="002C649B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BB2909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Tűzvédelmi intézkedések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5B2FFF" w:rsidRPr="00015EC6" w:rsidRDefault="005B2FFF" w:rsidP="00A83521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5B2FFF" w:rsidRPr="00015EC6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Tűzveszélyességi besorolás 9/2008. (II. 22.) ÖTM rendelet</w:t>
      </w:r>
      <w:r w:rsidR="005B2FFF" w:rsidRPr="00015EC6">
        <w:rPr>
          <w:rFonts w:ascii="Century Gothic" w:hAnsi="Century Gothic" w:cs="Arial"/>
          <w:sz w:val="22"/>
          <w:szCs w:val="22"/>
        </w:rPr>
        <w:t>:</w:t>
      </w:r>
    </w:p>
    <w:p w:rsidR="005B2FFF" w:rsidRPr="00015EC6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Tűzveszélyességi osztály: „Mérsékelten tűzveszélyes”, „D”</w:t>
      </w:r>
    </w:p>
    <w:p w:rsidR="00A83521" w:rsidRPr="00015EC6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Tűzveszélyességi fokozat: IV</w:t>
      </w:r>
    </w:p>
    <w:p w:rsidR="00C911BC" w:rsidRPr="00015EC6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A83521" w:rsidRPr="00015EC6" w:rsidRDefault="005B2FFF" w:rsidP="00A83521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5</w:t>
      </w:r>
      <w:r w:rsidR="00A83521"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.1. 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Oltóanyagok</w:t>
      </w:r>
    </w:p>
    <w:p w:rsidR="00A83521" w:rsidRPr="00015EC6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Használható anyagok</w:t>
      </w:r>
      <w:r w:rsidR="00A83521" w:rsidRPr="00015EC6">
        <w:rPr>
          <w:rFonts w:ascii="Century Gothic" w:hAnsi="Century Gothic" w:cs="Arial"/>
          <w:sz w:val="22"/>
          <w:szCs w:val="22"/>
        </w:rPr>
        <w:t>:</w:t>
      </w:r>
      <w:r w:rsidR="00A83521" w:rsidRPr="00015EC6">
        <w:rPr>
          <w:rFonts w:ascii="Century Gothic" w:hAnsi="Century Gothic" w:cs="Arial"/>
          <w:sz w:val="22"/>
          <w:szCs w:val="22"/>
        </w:rPr>
        <w:tab/>
      </w:r>
      <w:r w:rsidRPr="00015EC6">
        <w:rPr>
          <w:rFonts w:ascii="Century Gothic" w:hAnsi="Century Gothic" w:cs="Arial"/>
          <w:sz w:val="22"/>
          <w:szCs w:val="22"/>
        </w:rPr>
        <w:t>vízpermet</w:t>
      </w:r>
      <w:r w:rsidR="00BB2909" w:rsidRPr="00015EC6">
        <w:rPr>
          <w:rFonts w:ascii="Century Gothic" w:hAnsi="Century Gothic" w:cs="Arial"/>
          <w:sz w:val="22"/>
          <w:szCs w:val="22"/>
        </w:rPr>
        <w:t xml:space="preserve"> (hűtéshez)</w:t>
      </w:r>
      <w:r w:rsidRPr="00015EC6">
        <w:rPr>
          <w:rFonts w:ascii="Century Gothic" w:hAnsi="Century Gothic" w:cs="Arial"/>
          <w:sz w:val="22"/>
          <w:szCs w:val="22"/>
        </w:rPr>
        <w:t xml:space="preserve">, </w:t>
      </w:r>
      <w:r w:rsidR="00B26833" w:rsidRPr="00015EC6">
        <w:rPr>
          <w:rFonts w:ascii="Century Gothic" w:hAnsi="Century Gothic" w:cs="Arial"/>
          <w:sz w:val="22"/>
          <w:szCs w:val="22"/>
        </w:rPr>
        <w:t>oltóhab, poroltó</w:t>
      </w:r>
      <w:r w:rsidR="00BB2909" w:rsidRPr="00015EC6">
        <w:rPr>
          <w:rFonts w:ascii="Century Gothic" w:hAnsi="Century Gothic" w:cs="Arial"/>
          <w:sz w:val="22"/>
          <w:szCs w:val="22"/>
        </w:rPr>
        <w:t>, CO</w:t>
      </w:r>
      <w:r w:rsidR="00BB2909" w:rsidRPr="00015EC6">
        <w:rPr>
          <w:rFonts w:ascii="Century Gothic" w:hAnsi="Century Gothic" w:cs="Arial"/>
          <w:sz w:val="22"/>
          <w:szCs w:val="22"/>
          <w:vertAlign w:val="subscript"/>
        </w:rPr>
        <w:t>2</w:t>
      </w:r>
    </w:p>
    <w:p w:rsidR="00B26833" w:rsidRPr="00015EC6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Nem használható anyagok:</w:t>
      </w:r>
      <w:r w:rsidRPr="00015EC6">
        <w:rPr>
          <w:rFonts w:ascii="Century Gothic" w:hAnsi="Century Gothic" w:cs="Arial"/>
          <w:sz w:val="22"/>
          <w:szCs w:val="22"/>
        </w:rPr>
        <w:tab/>
        <w:t>vízsugár</w:t>
      </w:r>
    </w:p>
    <w:p w:rsidR="00A83521" w:rsidRPr="00015EC6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B26833" w:rsidRPr="00015EC6" w:rsidRDefault="00B26833" w:rsidP="00B26833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5.2. A</w:t>
      </w:r>
      <w:r w:rsidR="002C649B" w:rsidRPr="00015EC6">
        <w:rPr>
          <w:rFonts w:ascii="Century Gothic" w:hAnsi="Century Gothic" w:cs="Arial"/>
          <w:b/>
          <w:color w:val="7030A0"/>
          <w:sz w:val="22"/>
          <w:szCs w:val="22"/>
        </w:rPr>
        <w:t>z anyagból vagy a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 keverékből származó különleges veszélyek</w:t>
      </w:r>
    </w:p>
    <w:p w:rsidR="00A42B68" w:rsidRPr="00015EC6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Égés során veszélyes égéstermékek keletkezhetnek (mérgező pirolízis anyagok, füst, szé</w:t>
      </w:r>
      <w:r w:rsidRPr="00015EC6">
        <w:rPr>
          <w:rFonts w:ascii="Century Gothic" w:hAnsi="Century Gothic" w:cs="Arial"/>
          <w:sz w:val="22"/>
          <w:szCs w:val="22"/>
        </w:rPr>
        <w:t>n</w:t>
      </w:r>
      <w:r w:rsidRPr="00015EC6">
        <w:rPr>
          <w:rFonts w:ascii="Century Gothic" w:hAnsi="Century Gothic" w:cs="Arial"/>
          <w:sz w:val="22"/>
          <w:szCs w:val="22"/>
        </w:rPr>
        <w:t>hidrogének, CO, CO</w:t>
      </w:r>
      <w:r w:rsidRPr="00015EC6">
        <w:rPr>
          <w:rFonts w:ascii="Century Gothic" w:hAnsi="Century Gothic" w:cs="Arial"/>
          <w:sz w:val="22"/>
          <w:szCs w:val="22"/>
          <w:vertAlign w:val="subscript"/>
        </w:rPr>
        <w:t xml:space="preserve">2, </w:t>
      </w:r>
      <w:r w:rsidRPr="00015EC6">
        <w:rPr>
          <w:rFonts w:ascii="Century Gothic" w:hAnsi="Century Gothic" w:cs="Arial"/>
          <w:sz w:val="22"/>
          <w:szCs w:val="22"/>
        </w:rPr>
        <w:t>aldehidek, kénhidrogének, kénoxidok, merkaptánok, nitrogénox</w:t>
      </w:r>
      <w:r w:rsidRPr="00015EC6">
        <w:rPr>
          <w:rFonts w:ascii="Century Gothic" w:hAnsi="Century Gothic" w:cs="Arial"/>
          <w:sz w:val="22"/>
          <w:szCs w:val="22"/>
        </w:rPr>
        <w:t>i</w:t>
      </w:r>
      <w:r w:rsidRPr="00015EC6">
        <w:rPr>
          <w:rFonts w:ascii="Century Gothic" w:hAnsi="Century Gothic" w:cs="Arial"/>
          <w:sz w:val="22"/>
          <w:szCs w:val="22"/>
        </w:rPr>
        <w:t>dok, foszforoxidok, kálciumoxidok, cinkoxidok))</w:t>
      </w:r>
    </w:p>
    <w:p w:rsidR="00B26833" w:rsidRPr="00015EC6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5.3. Tűzoltóknak szóló javaslat</w:t>
      </w:r>
    </w:p>
    <w:p w:rsidR="00B26833" w:rsidRPr="00015EC6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Megelőző intézkedések:</w:t>
      </w:r>
      <w:r w:rsidRPr="00015EC6">
        <w:rPr>
          <w:rFonts w:ascii="Century Gothic" w:hAnsi="Century Gothic" w:cs="Arial"/>
          <w:sz w:val="22"/>
          <w:szCs w:val="22"/>
        </w:rPr>
        <w:tab/>
        <w:t>a vegyi anyagok tüzeire vonatkozó általános intézkedések</w:t>
      </w:r>
    </w:p>
    <w:p w:rsidR="00B26833" w:rsidRPr="00015EC6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Tűzoltási intézkedések:</w:t>
      </w:r>
      <w:r w:rsidRPr="00015EC6">
        <w:rPr>
          <w:rFonts w:ascii="Century Gothic" w:hAnsi="Century Gothic" w:cs="Arial"/>
          <w:sz w:val="22"/>
          <w:szCs w:val="22"/>
        </w:rPr>
        <w:tab/>
        <w:t>vízpermet használata javasolt a tárolótartályok hűtésére</w:t>
      </w:r>
    </w:p>
    <w:p w:rsidR="00B26833" w:rsidRPr="00015EC6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Védőfelszerelés:</w:t>
      </w:r>
      <w:r w:rsidRPr="00015EC6">
        <w:rPr>
          <w:rFonts w:ascii="Century Gothic" w:hAnsi="Century Gothic" w:cs="Arial"/>
          <w:sz w:val="22"/>
          <w:szCs w:val="22"/>
        </w:rPr>
        <w:tab/>
        <w:t>ál</w:t>
      </w:r>
      <w:r w:rsidR="00E43211" w:rsidRPr="00015EC6">
        <w:rPr>
          <w:rFonts w:ascii="Century Gothic" w:hAnsi="Century Gothic" w:cs="Arial"/>
          <w:sz w:val="22"/>
          <w:szCs w:val="22"/>
        </w:rPr>
        <w:t>talános védőfelszerelés és légző</w:t>
      </w:r>
      <w:r w:rsidRPr="00015EC6">
        <w:rPr>
          <w:rFonts w:ascii="Century Gothic" w:hAnsi="Century Gothic" w:cs="Arial"/>
          <w:sz w:val="22"/>
          <w:szCs w:val="22"/>
        </w:rPr>
        <w:t>maszk</w:t>
      </w:r>
      <w:r w:rsidR="00281F92" w:rsidRPr="00015EC6">
        <w:rPr>
          <w:rFonts w:ascii="Century Gothic" w:hAnsi="Century Gothic" w:cs="Arial"/>
          <w:sz w:val="22"/>
          <w:szCs w:val="22"/>
        </w:rPr>
        <w:t xml:space="preserve"> (A-P2 (EN 141)</w:t>
      </w:r>
    </w:p>
    <w:p w:rsidR="004A662C" w:rsidRPr="00015EC6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09133B" w:rsidRPr="00015EC6" w:rsidRDefault="0009133B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Century Gothic" w:hAnsi="Century Gothic" w:cs="Arial"/>
          <w:sz w:val="22"/>
          <w:szCs w:val="22"/>
        </w:rPr>
      </w:pPr>
    </w:p>
    <w:p w:rsidR="007F4469" w:rsidRPr="00015EC6" w:rsidRDefault="007F4469" w:rsidP="007F4469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6.</w:t>
      </w:r>
      <w:r w:rsidR="002C649B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A42B68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 I</w:t>
      </w:r>
      <w:r w:rsidR="00981DD4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ntézkedések véletlenszerű expozí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ciónál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7F4469" w:rsidRPr="00015EC6" w:rsidRDefault="007F4469" w:rsidP="007F4469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7F4469" w:rsidRPr="00015EC6" w:rsidRDefault="007F4469" w:rsidP="007F4469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6.1. Személyi óvintézkedések, egyéni védőeszközök és vészhelyzeti eljárások</w:t>
      </w:r>
    </w:p>
    <w:p w:rsidR="00991F2D" w:rsidRPr="00015EC6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Használata megfelelően szellőztetett helységben javasolt, távol a lehetséges gyújtóforráso</w:t>
      </w:r>
      <w:r w:rsidRPr="00015EC6">
        <w:rPr>
          <w:rFonts w:ascii="Century Gothic" w:hAnsi="Century Gothic" w:cs="Arial"/>
          <w:sz w:val="22"/>
          <w:szCs w:val="22"/>
        </w:rPr>
        <w:t>k</w:t>
      </w:r>
      <w:r w:rsidRPr="00015EC6">
        <w:rPr>
          <w:rFonts w:ascii="Century Gothic" w:hAnsi="Century Gothic" w:cs="Arial"/>
          <w:sz w:val="22"/>
          <w:szCs w:val="22"/>
        </w:rPr>
        <w:t>tól.</w:t>
      </w:r>
    </w:p>
    <w:p w:rsidR="00991F2D" w:rsidRPr="00015EC6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Ne dohányozzon a termék közelében.</w:t>
      </w:r>
    </w:p>
    <w:p w:rsidR="00991F2D" w:rsidRPr="00015EC6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Kerülje az anyag szembe fröccsenését és a bőréről mielőbb tisztítsa le.</w:t>
      </w:r>
    </w:p>
    <w:p w:rsidR="007F4469" w:rsidRPr="00015EC6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Javasolt védőfelszerelések</w:t>
      </w:r>
      <w:r w:rsidR="00991F2D" w:rsidRPr="00015EC6">
        <w:rPr>
          <w:rFonts w:ascii="Century Gothic" w:hAnsi="Century Gothic" w:cs="Arial"/>
          <w:sz w:val="22"/>
          <w:szCs w:val="22"/>
        </w:rPr>
        <w:t>:</w:t>
      </w:r>
      <w:r w:rsidRPr="00015EC6">
        <w:rPr>
          <w:rFonts w:ascii="Century Gothic" w:hAnsi="Century Gothic" w:cs="Arial"/>
          <w:sz w:val="22"/>
          <w:szCs w:val="22"/>
        </w:rPr>
        <w:t xml:space="preserve">olajálló öltözet és </w:t>
      </w:r>
      <w:r w:rsidR="00991F2D" w:rsidRPr="00015EC6">
        <w:rPr>
          <w:rFonts w:ascii="Century Gothic" w:hAnsi="Century Gothic" w:cs="Arial"/>
          <w:sz w:val="22"/>
          <w:szCs w:val="22"/>
        </w:rPr>
        <w:t xml:space="preserve">olajálló </w:t>
      </w:r>
      <w:r w:rsidRPr="00015EC6">
        <w:rPr>
          <w:rFonts w:ascii="Century Gothic" w:hAnsi="Century Gothic" w:cs="Arial"/>
          <w:sz w:val="22"/>
          <w:szCs w:val="22"/>
        </w:rPr>
        <w:t>védőkesztyű</w:t>
      </w:r>
    </w:p>
    <w:p w:rsidR="006B0AFE" w:rsidRPr="00015EC6" w:rsidRDefault="006B0AFE" w:rsidP="006B0AFE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6.2. Környezetvédelmi óvintézkedések</w:t>
      </w:r>
    </w:p>
    <w:p w:rsidR="006B0AFE" w:rsidRPr="00015EC6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El kell kerülni, hogy az anyag </w:t>
      </w:r>
      <w:r w:rsidR="00991F2D" w:rsidRPr="00015EC6">
        <w:rPr>
          <w:rFonts w:ascii="Century Gothic" w:hAnsi="Century Gothic" w:cs="Arial"/>
          <w:sz w:val="22"/>
          <w:szCs w:val="22"/>
        </w:rPr>
        <w:t xml:space="preserve">csatornákba, </w:t>
      </w:r>
      <w:r w:rsidRPr="00015EC6">
        <w:rPr>
          <w:rFonts w:ascii="Century Gothic" w:hAnsi="Century Gothic" w:cs="Arial"/>
          <w:sz w:val="22"/>
          <w:szCs w:val="22"/>
        </w:rPr>
        <w:t>élővízbe kerüljön.</w:t>
      </w:r>
    </w:p>
    <w:p w:rsidR="006B0AFE" w:rsidRPr="00015EC6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6B0AFE" w:rsidRPr="00015EC6" w:rsidRDefault="006B0AFE" w:rsidP="006B0AFE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6.3. A terület elhatárolása és a szennyezés-mentesítés módszerei és anyagai</w:t>
      </w:r>
    </w:p>
    <w:p w:rsidR="00991F2D" w:rsidRPr="00015EC6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Az anyag véletlen kiömlése vagy szétszóródása esetén: mechanikai eszközök segíts</w:t>
      </w:r>
      <w:r w:rsidR="00F0698F" w:rsidRPr="00015EC6">
        <w:rPr>
          <w:rFonts w:ascii="Century Gothic" w:hAnsi="Century Gothic" w:cs="Arial"/>
          <w:sz w:val="22"/>
          <w:szCs w:val="22"/>
        </w:rPr>
        <w:t xml:space="preserve">égével meg kell akadályozni az </w:t>
      </w:r>
      <w:r w:rsidRPr="00015EC6">
        <w:rPr>
          <w:rFonts w:ascii="Century Gothic" w:hAnsi="Century Gothic" w:cs="Arial"/>
          <w:sz w:val="22"/>
          <w:szCs w:val="22"/>
        </w:rPr>
        <w:t>anyag diszperzióját. Az összegyűjtéshez fizikai és</w:t>
      </w:r>
      <w:r w:rsidR="00991F2D" w:rsidRPr="00015EC6">
        <w:rPr>
          <w:rFonts w:ascii="Century Gothic" w:hAnsi="Century Gothic" w:cs="Arial"/>
          <w:sz w:val="22"/>
          <w:szCs w:val="22"/>
        </w:rPr>
        <w:t xml:space="preserve"> kémiai szereket kell használni(pl. száraz föld, homok, mészpor, POP szálak, VAPEX, EKOSORB).</w:t>
      </w:r>
    </w:p>
    <w:p w:rsidR="006B0AFE" w:rsidRPr="00015EC6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6B0AFE" w:rsidRPr="00015EC6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6B0AFE" w:rsidRPr="00015EC6" w:rsidRDefault="00A42B68" w:rsidP="006B0AFE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6.4</w:t>
      </w:r>
      <w:r w:rsidR="006B0AFE" w:rsidRPr="00015EC6">
        <w:rPr>
          <w:rFonts w:ascii="Century Gothic" w:hAnsi="Century Gothic" w:cs="Arial"/>
          <w:b/>
          <w:color w:val="7030A0"/>
          <w:sz w:val="22"/>
          <w:szCs w:val="22"/>
        </w:rPr>
        <w:t>. Hivatkozás más szakaszokra</w:t>
      </w:r>
    </w:p>
    <w:p w:rsidR="006B0AFE" w:rsidRPr="00015EC6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13.1. Hulladékkezelési szempontok</w:t>
      </w:r>
    </w:p>
    <w:p w:rsidR="007B0E53" w:rsidRPr="00015EC6" w:rsidRDefault="007B0E53" w:rsidP="007B0E53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7.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991F2D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Kezelés és tárolás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7B0E53" w:rsidRPr="00015EC6" w:rsidRDefault="007B0E53" w:rsidP="007B0E53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7B0E53" w:rsidRPr="00015EC6" w:rsidRDefault="007B0E53" w:rsidP="007B0E53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7.1. A biztonságos kezelésre vonatkozó irányuló óvintézkedések</w:t>
      </w:r>
    </w:p>
    <w:p w:rsidR="006B0AFE" w:rsidRPr="00015EC6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Kerülni kell az anyag szükségtelen környezetbe kerülését</w:t>
      </w:r>
      <w:r w:rsidR="00B11C5D" w:rsidRPr="00015EC6">
        <w:rPr>
          <w:rFonts w:ascii="Century Gothic" w:hAnsi="Century Gothic" w:cs="Arial"/>
          <w:sz w:val="22"/>
          <w:szCs w:val="22"/>
        </w:rPr>
        <w:t>. A használata során rendszeres szellőztetés javasolt.</w:t>
      </w:r>
    </w:p>
    <w:p w:rsidR="00B11C5D" w:rsidRPr="00015EC6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A helység hőmérséklete ne haladja meg a 40°C-t.</w:t>
      </w:r>
    </w:p>
    <w:p w:rsidR="00B11C5D" w:rsidRPr="00015EC6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Az anyag használatát követően ajánlott a szappanos és bő vizes kézmosás.</w:t>
      </w:r>
    </w:p>
    <w:p w:rsidR="00297CFB" w:rsidRPr="00015EC6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297CFB" w:rsidRPr="00015EC6" w:rsidRDefault="00297CFB" w:rsidP="00297CFB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7.2. A biztonságos tárolás feltételei, az esetleges összeférhetetlenséggel együtt</w:t>
      </w:r>
    </w:p>
    <w:p w:rsidR="00297CFB" w:rsidRPr="00015EC6" w:rsidRDefault="00F0698F" w:rsidP="00297CFB">
      <w:pPr>
        <w:tabs>
          <w:tab w:val="left" w:pos="180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Tárolása száraz, hűvö</w:t>
      </w:r>
      <w:r w:rsidR="00297CFB" w:rsidRPr="00015EC6">
        <w:rPr>
          <w:rFonts w:ascii="Century Gothic" w:hAnsi="Century Gothic" w:cs="Arial"/>
          <w:sz w:val="22"/>
          <w:szCs w:val="22"/>
        </w:rPr>
        <w:t>s, szellőztetett helységben javasolt.</w:t>
      </w:r>
    </w:p>
    <w:p w:rsidR="00297CFB" w:rsidRPr="00015EC6" w:rsidRDefault="00297CFB" w:rsidP="00297CFB">
      <w:pPr>
        <w:tabs>
          <w:tab w:val="left" w:pos="180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A tároló helység hőmérséklete ne haladja meg a 40°C-t.</w:t>
      </w:r>
    </w:p>
    <w:p w:rsidR="00297CFB" w:rsidRPr="00015EC6" w:rsidRDefault="00297CFB" w:rsidP="00297CFB">
      <w:pPr>
        <w:tabs>
          <w:tab w:val="left" w:pos="180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297CFB" w:rsidRPr="00015EC6" w:rsidRDefault="00297CFB" w:rsidP="00297CFB">
      <w:pPr>
        <w:tabs>
          <w:tab w:val="left" w:pos="176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7.3. Meghatározott végfelhasználás</w:t>
      </w:r>
    </w:p>
    <w:p w:rsidR="00297CFB" w:rsidRPr="00015EC6" w:rsidRDefault="0009133B" w:rsidP="00297CFB">
      <w:pPr>
        <w:tabs>
          <w:tab w:val="left" w:pos="180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Hajtóműolaj</w:t>
      </w:r>
    </w:p>
    <w:p w:rsidR="00297CFB" w:rsidRPr="00015EC6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297CFB" w:rsidRPr="00015EC6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297CFB" w:rsidRPr="00015EC6" w:rsidRDefault="00297CFB" w:rsidP="00297CFB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8.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991F2D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Az expozíció ellenőrzése / egyéni védelem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297CFB" w:rsidRPr="00015EC6" w:rsidRDefault="00297CFB" w:rsidP="00297CFB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297CFB" w:rsidRPr="00015EC6" w:rsidRDefault="00297CFB" w:rsidP="00297CFB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8.1. Ellenőrzési paraméterek</w:t>
      </w:r>
    </w:p>
    <w:p w:rsidR="00297CFB" w:rsidRPr="00015EC6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Olajköd képződése esetén:</w:t>
      </w:r>
      <w:r w:rsidRPr="00015EC6">
        <w:rPr>
          <w:rFonts w:ascii="Century Gothic" w:hAnsi="Century Gothic" w:cs="Arial"/>
          <w:sz w:val="22"/>
          <w:szCs w:val="22"/>
        </w:rPr>
        <w:tab/>
        <w:t>5mg/m</w:t>
      </w:r>
      <w:r w:rsidRPr="00015EC6">
        <w:rPr>
          <w:rFonts w:ascii="Century Gothic" w:hAnsi="Century Gothic" w:cs="Arial"/>
          <w:sz w:val="22"/>
          <w:szCs w:val="22"/>
          <w:vertAlign w:val="superscript"/>
        </w:rPr>
        <w:t>3</w:t>
      </w:r>
      <w:r w:rsidRPr="00015EC6">
        <w:rPr>
          <w:rFonts w:ascii="Century Gothic" w:hAnsi="Century Gothic" w:cs="Arial"/>
          <w:sz w:val="22"/>
          <w:szCs w:val="22"/>
        </w:rPr>
        <w:t>(vizsgálati módszer US NIOSH 5026 3. kiadás)</w:t>
      </w:r>
    </w:p>
    <w:p w:rsidR="00297CFB" w:rsidRPr="00015EC6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991F2D" w:rsidRPr="00015EC6" w:rsidRDefault="00991F2D" w:rsidP="00991F2D">
      <w:pPr>
        <w:tabs>
          <w:tab w:val="left" w:pos="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8.1.1. Expozíciós határértékek</w:t>
      </w:r>
    </w:p>
    <w:p w:rsidR="00991F2D" w:rsidRPr="00015EC6" w:rsidRDefault="00991F2D" w:rsidP="00991F2D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sz w:val="22"/>
          <w:szCs w:val="22"/>
          <w:lang w:val="nl-NL"/>
        </w:rPr>
      </w:pPr>
      <w:r w:rsidRPr="00015EC6">
        <w:rPr>
          <w:rFonts w:ascii="Century Gothic" w:hAnsi="Century Gothic" w:cs="Arial"/>
          <w:sz w:val="22"/>
          <w:szCs w:val="22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015EC6">
        <w:rPr>
          <w:rFonts w:ascii="Century Gothic" w:hAnsi="Century Gothic" w:cs="Arial"/>
          <w:b/>
          <w:sz w:val="22"/>
          <w:szCs w:val="22"/>
          <w:lang w:val="nl-NL"/>
        </w:rPr>
        <w:t>.</w:t>
      </w:r>
    </w:p>
    <w:p w:rsidR="00991F2D" w:rsidRPr="00015EC6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297CFB" w:rsidRPr="00015EC6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8.2. </w:t>
      </w:r>
      <w:r w:rsidR="00405157" w:rsidRPr="00015EC6">
        <w:rPr>
          <w:rFonts w:ascii="Century Gothic" w:hAnsi="Century Gothic" w:cs="Arial"/>
          <w:b/>
          <w:color w:val="7030A0"/>
          <w:sz w:val="22"/>
          <w:szCs w:val="22"/>
        </w:rPr>
        <w:t>Az expozíció ellenőrzése</w:t>
      </w:r>
    </w:p>
    <w:p w:rsidR="00991F2D" w:rsidRPr="00015EC6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Kézvédelem:</w:t>
      </w:r>
      <w:r w:rsidRPr="00015EC6">
        <w:rPr>
          <w:rFonts w:ascii="Century Gothic" w:hAnsi="Century Gothic" w:cs="Arial"/>
          <w:sz w:val="22"/>
          <w:szCs w:val="22"/>
        </w:rPr>
        <w:tab/>
        <w:t xml:space="preserve">védőkesztyű nem szükséges                 </w:t>
      </w:r>
    </w:p>
    <w:p w:rsidR="00991F2D" w:rsidRPr="00015EC6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Szemvédelem:</w:t>
      </w:r>
      <w:r w:rsidRPr="00015EC6">
        <w:rPr>
          <w:rFonts w:ascii="Century Gothic" w:hAnsi="Century Gothic" w:cs="Arial"/>
          <w:sz w:val="22"/>
          <w:szCs w:val="22"/>
        </w:rPr>
        <w:tab/>
        <w:t xml:space="preserve">védőszemüveg nem szükséges                 </w:t>
      </w:r>
    </w:p>
    <w:p w:rsidR="00991F2D" w:rsidRPr="00015EC6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Védőfelszerelés:</w:t>
      </w:r>
      <w:r w:rsidRPr="00015EC6">
        <w:rPr>
          <w:rFonts w:ascii="Century Gothic" w:hAnsi="Century Gothic" w:cs="Arial"/>
          <w:sz w:val="22"/>
          <w:szCs w:val="22"/>
        </w:rPr>
        <w:tab/>
        <w:t>védőruházat nem szükséges</w:t>
      </w:r>
    </w:p>
    <w:p w:rsidR="00991F2D" w:rsidRPr="00015EC6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Légzésvédő:</w:t>
      </w:r>
      <w:r w:rsidRPr="00015EC6">
        <w:rPr>
          <w:rFonts w:ascii="Century Gothic" w:hAnsi="Century Gothic" w:cs="Arial"/>
          <w:sz w:val="22"/>
          <w:szCs w:val="22"/>
        </w:rPr>
        <w:tab/>
        <w:t xml:space="preserve">légzőkészülék nem szükséges      </w:t>
      </w:r>
    </w:p>
    <w:p w:rsidR="00C911BC" w:rsidRPr="00015EC6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15314A" w:rsidRPr="00015EC6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8. pont alatti előírások átlagosnak tekinthető körülmények között, szakszerűen végzett t</w:t>
      </w:r>
      <w:r w:rsidRPr="00015EC6">
        <w:rPr>
          <w:rFonts w:ascii="Century Gothic" w:hAnsi="Century Gothic" w:cs="Arial"/>
          <w:sz w:val="22"/>
          <w:szCs w:val="22"/>
        </w:rPr>
        <w:t>e</w:t>
      </w:r>
      <w:r w:rsidRPr="00015EC6">
        <w:rPr>
          <w:rFonts w:ascii="Century Gothic" w:hAnsi="Century Gothic" w:cs="Arial"/>
          <w:sz w:val="22"/>
          <w:szCs w:val="22"/>
        </w:rPr>
        <w:t>vékenységre, és rendeltésszerű felhasználási feltételekre vonatkoznak. Amennyiben ettől e</w:t>
      </w:r>
      <w:r w:rsidRPr="00015EC6">
        <w:rPr>
          <w:rFonts w:ascii="Century Gothic" w:hAnsi="Century Gothic" w:cs="Arial"/>
          <w:sz w:val="22"/>
          <w:szCs w:val="22"/>
        </w:rPr>
        <w:t>l</w:t>
      </w:r>
      <w:r w:rsidRPr="00015EC6">
        <w:rPr>
          <w:rFonts w:ascii="Century Gothic" w:hAnsi="Century Gothic" w:cs="Arial"/>
          <w:sz w:val="22"/>
          <w:szCs w:val="22"/>
        </w:rPr>
        <w:t>térő viszonyok, vagy rendkívüli körülmé-nyek között történik a munkavégzés, a további szü</w:t>
      </w:r>
      <w:r w:rsidRPr="00015EC6">
        <w:rPr>
          <w:rFonts w:ascii="Century Gothic" w:hAnsi="Century Gothic" w:cs="Arial"/>
          <w:sz w:val="22"/>
          <w:szCs w:val="22"/>
        </w:rPr>
        <w:t>k</w:t>
      </w:r>
      <w:r w:rsidRPr="00015EC6">
        <w:rPr>
          <w:rFonts w:ascii="Century Gothic" w:hAnsi="Century Gothic" w:cs="Arial"/>
          <w:sz w:val="22"/>
          <w:szCs w:val="22"/>
        </w:rPr>
        <w:t>séges teendőkről  és az egyéni védőeszközökkel kapcsolatban szakértő bevonásával ajá</w:t>
      </w:r>
      <w:r w:rsidRPr="00015EC6">
        <w:rPr>
          <w:rFonts w:ascii="Century Gothic" w:hAnsi="Century Gothic" w:cs="Arial"/>
          <w:sz w:val="22"/>
          <w:szCs w:val="22"/>
        </w:rPr>
        <w:t>n</w:t>
      </w:r>
      <w:r w:rsidRPr="00015EC6">
        <w:rPr>
          <w:rFonts w:ascii="Century Gothic" w:hAnsi="Century Gothic" w:cs="Arial"/>
          <w:sz w:val="22"/>
          <w:szCs w:val="22"/>
        </w:rPr>
        <w:t>lott dönteni.</w:t>
      </w:r>
    </w:p>
    <w:p w:rsidR="00DA5AB7" w:rsidRPr="00015EC6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015EC6" w:rsidRDefault="00015EC6">
      <w:pPr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</w:pPr>
      <w:r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br w:type="page"/>
      </w:r>
    </w:p>
    <w:p w:rsidR="00405157" w:rsidRPr="00015EC6" w:rsidRDefault="00405157" w:rsidP="004A662C">
      <w:pPr>
        <w:rPr>
          <w:rFonts w:ascii="Century Gothic" w:hAnsi="Century Gothic" w:cs="Arial"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lastRenderedPageBreak/>
        <w:t xml:space="preserve">9.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100464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Fizikai és kémiai tulajdonságok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405157" w:rsidRPr="00015EC6" w:rsidRDefault="00405157" w:rsidP="00405157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405157" w:rsidRPr="00015EC6" w:rsidRDefault="00405157" w:rsidP="00405157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9.1. Az alapvető fizikai és kémiai tulajdonságokra vonatkozó információ</w:t>
      </w:r>
    </w:p>
    <w:p w:rsidR="00405157" w:rsidRPr="00015EC6" w:rsidRDefault="00405157" w:rsidP="00405157">
      <w:pPr>
        <w:tabs>
          <w:tab w:val="left" w:pos="18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Halmazállapot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F22618" w:rsidRPr="00015EC6">
        <w:rPr>
          <w:rFonts w:ascii="Century Gothic" w:hAnsi="Century Gothic" w:cs="Arial"/>
          <w:sz w:val="22"/>
          <w:szCs w:val="22"/>
        </w:rPr>
        <w:t>olajos</w:t>
      </w:r>
      <w:r w:rsidRPr="00015EC6">
        <w:rPr>
          <w:rFonts w:ascii="Century Gothic" w:hAnsi="Century Gothic" w:cs="Arial"/>
          <w:sz w:val="22"/>
          <w:szCs w:val="22"/>
        </w:rPr>
        <w:t xml:space="preserve"> folyadék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  <w:lang w:val="en-GB"/>
        </w:rPr>
        <w:t>Formula</w:t>
      </w:r>
      <w:r w:rsidR="00F22618" w:rsidRPr="00015EC6">
        <w:rPr>
          <w:rFonts w:ascii="Century Gothic" w:hAnsi="Century Gothic" w:cs="Arial"/>
          <w:sz w:val="22"/>
          <w:szCs w:val="22"/>
        </w:rPr>
        <w:tab/>
        <w:t>olajos</w:t>
      </w:r>
      <w:r w:rsidRPr="00015EC6">
        <w:rPr>
          <w:rFonts w:ascii="Century Gothic" w:hAnsi="Century Gothic" w:cs="Arial"/>
          <w:sz w:val="22"/>
          <w:szCs w:val="22"/>
        </w:rPr>
        <w:t xml:space="preserve"> folyadék</w:t>
      </w:r>
    </w:p>
    <w:p w:rsidR="00281F92" w:rsidRPr="00015EC6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Szín</w:t>
      </w:r>
      <w:r w:rsidRPr="00015EC6">
        <w:rPr>
          <w:rFonts w:ascii="Century Gothic" w:hAnsi="Century Gothic" w:cs="Arial"/>
          <w:sz w:val="22"/>
          <w:szCs w:val="22"/>
        </w:rPr>
        <w:tab/>
        <w:t>sárgásbarna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Szag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F22618" w:rsidRPr="00015EC6">
        <w:rPr>
          <w:rFonts w:ascii="Century Gothic" w:hAnsi="Century Gothic" w:cs="Arial"/>
          <w:sz w:val="22"/>
          <w:szCs w:val="22"/>
        </w:rPr>
        <w:t>jellegzetes olaj szag</w:t>
      </w:r>
    </w:p>
    <w:p w:rsidR="00281F92" w:rsidRPr="00015EC6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Szagküszöb érték</w:t>
      </w:r>
      <w:r w:rsidR="00281F92"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pH érték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F22618" w:rsidRPr="00015EC6">
        <w:rPr>
          <w:rFonts w:ascii="Century Gothic" w:hAnsi="Century Gothic" w:cs="Arial"/>
          <w:sz w:val="22"/>
          <w:szCs w:val="22"/>
        </w:rPr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Olvadáspont / fagyáspont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8A713D" w:rsidRPr="00015EC6">
        <w:rPr>
          <w:rFonts w:ascii="Century Gothic" w:hAnsi="Century Gothic" w:cs="Arial"/>
          <w:sz w:val="22"/>
          <w:szCs w:val="22"/>
        </w:rPr>
        <w:t>-27</w:t>
      </w:r>
      <w:bookmarkStart w:id="0" w:name="_GoBack"/>
      <w:bookmarkEnd w:id="0"/>
      <w:r w:rsidR="0085164B" w:rsidRPr="00015EC6">
        <w:rPr>
          <w:rFonts w:ascii="Century Gothic" w:hAnsi="Century Gothic" w:cs="Arial"/>
          <w:sz w:val="22"/>
          <w:szCs w:val="22"/>
        </w:rPr>
        <w:t>°C (D-97)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Szilárdulási pont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Forráspont / forrási tartomány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192393" w:rsidRPr="00015EC6">
        <w:rPr>
          <w:rFonts w:ascii="Century Gothic" w:hAnsi="Century Gothic" w:cs="Arial"/>
          <w:sz w:val="22"/>
          <w:szCs w:val="22"/>
        </w:rPr>
        <w:t>&gt;32</w:t>
      </w:r>
      <w:r w:rsidR="00F22618" w:rsidRPr="00015EC6">
        <w:rPr>
          <w:rFonts w:ascii="Century Gothic" w:hAnsi="Century Gothic" w:cs="Arial"/>
          <w:sz w:val="22"/>
          <w:szCs w:val="22"/>
        </w:rPr>
        <w:t>0°C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Lobbanáspont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192393" w:rsidRPr="00015EC6">
        <w:rPr>
          <w:rFonts w:ascii="Century Gothic" w:hAnsi="Century Gothic" w:cs="Arial"/>
          <w:sz w:val="22"/>
          <w:szCs w:val="22"/>
        </w:rPr>
        <w:t>&gt;20</w:t>
      </w:r>
      <w:r w:rsidR="00F22618" w:rsidRPr="00015EC6">
        <w:rPr>
          <w:rFonts w:ascii="Century Gothic" w:hAnsi="Century Gothic" w:cs="Arial"/>
          <w:sz w:val="22"/>
          <w:szCs w:val="22"/>
        </w:rPr>
        <w:t>0°C (ISO 2592</w:t>
      </w:r>
      <w:r w:rsidRPr="00015EC6">
        <w:rPr>
          <w:rFonts w:ascii="Century Gothic" w:hAnsi="Century Gothic" w:cs="Arial"/>
          <w:sz w:val="22"/>
          <w:szCs w:val="22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Butil-acetáthoz viszonyított relatív párolgási sebesség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Tűzveszélyesség (szilárd gáz)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Alsó robbanási határérték</w:t>
      </w:r>
      <w:r w:rsidR="00281F92" w:rsidRPr="00015EC6">
        <w:rPr>
          <w:rFonts w:ascii="Century Gothic" w:hAnsi="Century Gothic" w:cs="Arial"/>
          <w:sz w:val="22"/>
          <w:szCs w:val="22"/>
        </w:rPr>
        <w:tab/>
      </w:r>
      <w:r w:rsidRPr="00015EC6">
        <w:rPr>
          <w:rFonts w:ascii="Century Gothic" w:hAnsi="Century Gothic" w:cs="Arial"/>
          <w:sz w:val="22"/>
          <w:szCs w:val="22"/>
        </w:rPr>
        <w:t>olajköd képződés esetén ~0,6 térf.%</w:t>
      </w:r>
    </w:p>
    <w:p w:rsidR="0085164B" w:rsidRPr="00015EC6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Felső robbanási határérték</w:t>
      </w:r>
      <w:r w:rsidRPr="00015EC6">
        <w:rPr>
          <w:rFonts w:ascii="Century Gothic" w:hAnsi="Century Gothic" w:cs="Arial"/>
          <w:sz w:val="22"/>
          <w:szCs w:val="22"/>
        </w:rPr>
        <w:tab/>
        <w:t>olajköd képződés esetén ~6,5 térf.%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Gőznyomás</w:t>
      </w:r>
      <w:r w:rsidR="0085164B" w:rsidRPr="00015EC6">
        <w:rPr>
          <w:rFonts w:ascii="Century Gothic" w:hAnsi="Century Gothic" w:cs="Arial"/>
          <w:sz w:val="22"/>
          <w:szCs w:val="22"/>
        </w:rPr>
        <w:t xml:space="preserve"> 320°C-nál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8E74FF" w:rsidRPr="00015EC6">
        <w:rPr>
          <w:rFonts w:ascii="Century Gothic" w:hAnsi="Century Gothic" w:cs="Arial"/>
          <w:sz w:val="22"/>
          <w:szCs w:val="22"/>
        </w:rPr>
        <w:t>1 013 mbar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Relatív gőznyomás 20 °C-nál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Relatív sűrűség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192393" w:rsidRPr="00015EC6">
        <w:rPr>
          <w:rFonts w:ascii="Century Gothic" w:hAnsi="Century Gothic" w:cs="Arial"/>
          <w:sz w:val="22"/>
          <w:szCs w:val="22"/>
        </w:rPr>
        <w:t>888</w:t>
      </w:r>
      <w:r w:rsidRPr="00015EC6">
        <w:rPr>
          <w:rFonts w:ascii="Century Gothic" w:hAnsi="Century Gothic" w:cs="Arial"/>
          <w:sz w:val="22"/>
          <w:szCs w:val="22"/>
        </w:rPr>
        <w:t xml:space="preserve"> kg/m3 (15°C-on)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Oldhatóság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8E74FF" w:rsidRPr="00015EC6">
        <w:rPr>
          <w:rFonts w:ascii="Century Gothic" w:hAnsi="Century Gothic" w:cs="Arial"/>
          <w:sz w:val="22"/>
          <w:szCs w:val="22"/>
        </w:rPr>
        <w:t>vízben nem oldódik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Lowpow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281F92" w:rsidRPr="00015EC6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Öngyulladási hőmérséklet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85164B" w:rsidRPr="00015EC6">
        <w:rPr>
          <w:rFonts w:ascii="Century Gothic" w:hAnsi="Century Gothic" w:cs="Arial"/>
          <w:sz w:val="22"/>
          <w:szCs w:val="22"/>
        </w:rPr>
        <w:t>&gt;25</w:t>
      </w:r>
      <w:r w:rsidRPr="00015EC6">
        <w:rPr>
          <w:rFonts w:ascii="Century Gothic" w:hAnsi="Century Gothic" w:cs="Arial"/>
          <w:sz w:val="22"/>
          <w:szCs w:val="22"/>
        </w:rPr>
        <w:t>0°C (DIN 51794)</w:t>
      </w:r>
    </w:p>
    <w:p w:rsidR="00281F92" w:rsidRPr="00015EC6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Bomlási hőmérséklet</w:t>
      </w:r>
      <w:r w:rsidRPr="00015EC6">
        <w:rPr>
          <w:rFonts w:ascii="Century Gothic" w:hAnsi="Century Gothic" w:cs="Arial"/>
          <w:sz w:val="22"/>
          <w:szCs w:val="22"/>
        </w:rPr>
        <w:tab/>
        <w:t>adatok nem állnak rendelkezésre</w:t>
      </w:r>
    </w:p>
    <w:p w:rsidR="00F22618" w:rsidRPr="00015EC6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Kinematikai v</w:t>
      </w:r>
      <w:r w:rsidR="00281F92" w:rsidRPr="00015EC6">
        <w:rPr>
          <w:rFonts w:ascii="Century Gothic" w:hAnsi="Century Gothic" w:cs="Arial"/>
          <w:sz w:val="22"/>
          <w:szCs w:val="22"/>
        </w:rPr>
        <w:t>iszkozitás</w:t>
      </w:r>
      <w:r w:rsidRPr="00015EC6">
        <w:rPr>
          <w:rFonts w:ascii="Century Gothic" w:hAnsi="Century Gothic" w:cs="Arial"/>
          <w:sz w:val="22"/>
          <w:szCs w:val="22"/>
        </w:rPr>
        <w:t xml:space="preserve"> 40°C-on</w:t>
      </w:r>
      <w:r w:rsidR="00281F92" w:rsidRPr="00015EC6">
        <w:rPr>
          <w:rFonts w:ascii="Century Gothic" w:hAnsi="Century Gothic" w:cs="Arial"/>
          <w:sz w:val="22"/>
          <w:szCs w:val="22"/>
        </w:rPr>
        <w:tab/>
      </w:r>
      <w:r w:rsidR="00192393" w:rsidRPr="00015EC6">
        <w:rPr>
          <w:rFonts w:ascii="Century Gothic" w:hAnsi="Century Gothic" w:cs="Arial"/>
          <w:sz w:val="22"/>
          <w:szCs w:val="22"/>
        </w:rPr>
        <w:t>128</w:t>
      </w:r>
      <w:r w:rsidR="00281F92" w:rsidRPr="00015EC6">
        <w:rPr>
          <w:rFonts w:ascii="Century Gothic" w:hAnsi="Century Gothic" w:cs="Arial"/>
          <w:sz w:val="22"/>
          <w:szCs w:val="22"/>
        </w:rPr>
        <w:t>cSt</w:t>
      </w:r>
      <w:r w:rsidR="008E74FF" w:rsidRPr="00015EC6">
        <w:rPr>
          <w:rFonts w:ascii="Century Gothic" w:hAnsi="Century Gothic" w:cs="Arial"/>
          <w:sz w:val="22"/>
          <w:szCs w:val="22"/>
        </w:rPr>
        <w:t xml:space="preserve">  (D-445)</w:t>
      </w:r>
    </w:p>
    <w:p w:rsidR="00F22618" w:rsidRPr="00015EC6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Kinematikai viszkozitás 100°C</w:t>
      </w:r>
      <w:r w:rsidR="00192393" w:rsidRPr="00015EC6">
        <w:rPr>
          <w:rFonts w:ascii="Century Gothic" w:hAnsi="Century Gothic" w:cs="Arial"/>
          <w:sz w:val="22"/>
          <w:szCs w:val="22"/>
        </w:rPr>
        <w:t>-on</w:t>
      </w:r>
      <w:r w:rsidR="00192393" w:rsidRPr="00015EC6">
        <w:rPr>
          <w:rFonts w:ascii="Century Gothic" w:hAnsi="Century Gothic" w:cs="Arial"/>
          <w:sz w:val="22"/>
          <w:szCs w:val="22"/>
        </w:rPr>
        <w:tab/>
        <w:t>14,0</w:t>
      </w:r>
      <w:r w:rsidRPr="00015EC6">
        <w:rPr>
          <w:rFonts w:ascii="Century Gothic" w:hAnsi="Century Gothic" w:cs="Arial"/>
          <w:sz w:val="22"/>
          <w:szCs w:val="22"/>
        </w:rPr>
        <w:t>cSt</w:t>
      </w:r>
      <w:r w:rsidR="008E74FF" w:rsidRPr="00015EC6">
        <w:rPr>
          <w:rFonts w:ascii="Century Gothic" w:hAnsi="Century Gothic" w:cs="Arial"/>
          <w:sz w:val="22"/>
          <w:szCs w:val="22"/>
        </w:rPr>
        <w:t>(D-445)</w:t>
      </w:r>
    </w:p>
    <w:p w:rsidR="00281F92" w:rsidRPr="00015EC6" w:rsidRDefault="00281F92" w:rsidP="00405157">
      <w:pPr>
        <w:tabs>
          <w:tab w:val="left" w:pos="18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405157" w:rsidRPr="00015EC6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</w:p>
    <w:p w:rsidR="00405157" w:rsidRPr="00015EC6" w:rsidRDefault="00405157" w:rsidP="00405157">
      <w:pPr>
        <w:tabs>
          <w:tab w:val="left" w:pos="180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9.2. Egyéb információk</w:t>
      </w:r>
    </w:p>
    <w:p w:rsidR="00405157" w:rsidRPr="00015EC6" w:rsidRDefault="00B50285" w:rsidP="00B50285">
      <w:pPr>
        <w:tabs>
          <w:tab w:val="left" w:pos="180"/>
        </w:tabs>
        <w:spacing w:line="200" w:lineRule="exact"/>
        <w:ind w:left="284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 Nincs információ</w:t>
      </w:r>
    </w:p>
    <w:p w:rsidR="003E2F9C" w:rsidRPr="00015EC6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50285" w:rsidRPr="00015EC6" w:rsidRDefault="00B50285" w:rsidP="00B50285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10.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8E74FF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 Stabilitás és reakcióképesség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CE43D9" w:rsidRPr="00015EC6" w:rsidRDefault="00CE43D9" w:rsidP="00C25CD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10.1. Reakcióképesség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10.2. Kémiai stabilitás: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Pr="00015EC6">
        <w:rPr>
          <w:rFonts w:ascii="Century Gothic" w:hAnsi="Century Gothic" w:cs="Arial"/>
          <w:sz w:val="22"/>
          <w:szCs w:val="22"/>
        </w:rPr>
        <w:t>Normál körülmények között stabil</w:t>
      </w: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10.3. A veszélyes reakciók lehetősége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="008E74FF" w:rsidRPr="00015EC6">
        <w:rPr>
          <w:rFonts w:ascii="Century Gothic" w:hAnsi="Century Gothic" w:cs="Arial"/>
          <w:sz w:val="22"/>
          <w:szCs w:val="22"/>
        </w:rPr>
        <w:t>220°C-felett gyúlékony gőzök keletkezhetnek</w:t>
      </w: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10.4. Kerülendő körülmények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10.5. Nem összeférhető anyagok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Pr="00015EC6">
        <w:rPr>
          <w:rFonts w:ascii="Century Gothic" w:hAnsi="Century Gothic" w:cs="Arial"/>
          <w:sz w:val="22"/>
          <w:szCs w:val="22"/>
        </w:rPr>
        <w:t>Erős oxidálószerek, savak, lúgok</w:t>
      </w: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B5241B" w:rsidRPr="00015EC6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10.6. Veszélyes bomlástermékek</w:t>
      </w:r>
      <w:r w:rsidR="00501561" w:rsidRPr="00015EC6">
        <w:rPr>
          <w:rFonts w:ascii="Century Gothic" w:hAnsi="Century Gothic" w:cs="Arial"/>
          <w:sz w:val="22"/>
          <w:szCs w:val="22"/>
        </w:rPr>
        <w:tab/>
      </w:r>
      <w:r w:rsidRPr="00015EC6">
        <w:rPr>
          <w:rFonts w:ascii="Century Gothic" w:hAnsi="Century Gothic" w:cs="Arial"/>
          <w:sz w:val="22"/>
          <w:szCs w:val="22"/>
        </w:rPr>
        <w:t>Normál körülmények között nincsenek</w:t>
      </w:r>
    </w:p>
    <w:p w:rsidR="009C1C16" w:rsidRPr="00015EC6" w:rsidRDefault="009C1C16" w:rsidP="00F7118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015EC6" w:rsidRDefault="00015EC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501561" w:rsidRPr="00015EC6" w:rsidRDefault="00501561" w:rsidP="00501561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lastRenderedPageBreak/>
        <w:t xml:space="preserve">11.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8E74FF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Toxikológiai adatok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501561" w:rsidRPr="00015EC6" w:rsidRDefault="00501561" w:rsidP="00501561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CA325D" w:rsidRPr="00015EC6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11.1. A toxikológiai hatásokra vonatkozó információ</w:t>
      </w:r>
    </w:p>
    <w:p w:rsidR="00CA325D" w:rsidRPr="00015EC6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ab/>
      </w:r>
    </w:p>
    <w:p w:rsidR="00CA325D" w:rsidRPr="00015EC6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Akut toxicitás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Orális:</w:t>
      </w:r>
      <w:r w:rsidRPr="00015EC6">
        <w:rPr>
          <w:rFonts w:ascii="Century Gothic" w:hAnsi="Century Gothic" w:cs="Arial"/>
          <w:sz w:val="22"/>
          <w:szCs w:val="22"/>
        </w:rPr>
        <w:tab/>
        <w:t>LD</w:t>
      </w:r>
      <w:r w:rsidRPr="00015EC6">
        <w:rPr>
          <w:rFonts w:ascii="Century Gothic" w:hAnsi="Century Gothic" w:cs="Arial"/>
          <w:sz w:val="22"/>
          <w:szCs w:val="22"/>
          <w:vertAlign w:val="subscript"/>
        </w:rPr>
        <w:t>50</w:t>
      </w:r>
      <w:r w:rsidRPr="00015EC6">
        <w:rPr>
          <w:rFonts w:ascii="Century Gothic" w:hAnsi="Century Gothic" w:cs="Arial"/>
          <w:sz w:val="22"/>
          <w:szCs w:val="22"/>
        </w:rPr>
        <w:t xml:space="preserve"> (patkány) &gt;2000 mg/kg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Dermális:</w:t>
      </w:r>
      <w:r w:rsidRPr="00015EC6">
        <w:rPr>
          <w:rFonts w:ascii="Century Gothic" w:hAnsi="Century Gothic" w:cs="Arial"/>
          <w:sz w:val="22"/>
          <w:szCs w:val="22"/>
        </w:rPr>
        <w:tab/>
        <w:t>LD</w:t>
      </w:r>
      <w:r w:rsidRPr="00015EC6">
        <w:rPr>
          <w:rFonts w:ascii="Century Gothic" w:hAnsi="Century Gothic" w:cs="Arial"/>
          <w:sz w:val="22"/>
          <w:szCs w:val="22"/>
          <w:vertAlign w:val="subscript"/>
        </w:rPr>
        <w:t>50</w:t>
      </w:r>
      <w:r w:rsidRPr="00015EC6">
        <w:rPr>
          <w:rFonts w:ascii="Century Gothic" w:hAnsi="Century Gothic" w:cs="Arial"/>
          <w:sz w:val="22"/>
          <w:szCs w:val="22"/>
        </w:rPr>
        <w:t xml:space="preserve"> (nyúl) &gt;2000 mg/kg</w:t>
      </w:r>
    </w:p>
    <w:p w:rsidR="00501561" w:rsidRPr="00015EC6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Irritáció:</w:t>
      </w:r>
      <w:r w:rsidRPr="00015EC6">
        <w:rPr>
          <w:rFonts w:ascii="Century Gothic" w:hAnsi="Century Gothic" w:cs="Arial"/>
          <w:sz w:val="22"/>
          <w:szCs w:val="22"/>
        </w:rPr>
        <w:tab/>
        <w:t>nem állnak rendelkezésre adatok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Szenzibilizáció: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Ismételt dózisú toxicitás: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Rákkeltő hatás: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Mutagenitás: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501561" w:rsidRPr="00015EC6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Reprodukciót károsító tulajdonság: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744A43" w:rsidRPr="00015EC6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AB7" w:rsidRPr="00015EC6" w:rsidRDefault="00DA5AB7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11.2. Egyéb információk</w:t>
      </w:r>
    </w:p>
    <w:p w:rsidR="00DA5182" w:rsidRPr="00015EC6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b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Szem irritációt okozhat</w:t>
      </w:r>
    </w:p>
    <w:p w:rsidR="00DA5182" w:rsidRPr="00015EC6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Hosszabb ideig tartó expozíció esetén az alábbi tünetek fordulhatnak elő:</w:t>
      </w:r>
    </w:p>
    <w:p w:rsidR="00DA5182" w:rsidRPr="00015EC6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bőr kiszáradása, irritációja, gyulladása, ekcéma</w:t>
      </w:r>
    </w:p>
    <w:p w:rsidR="004A662C" w:rsidRPr="00015EC6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4A662C" w:rsidRPr="00015EC6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b/>
          <w:sz w:val="22"/>
          <w:szCs w:val="22"/>
        </w:rPr>
      </w:pPr>
    </w:p>
    <w:p w:rsidR="00744A43" w:rsidRPr="00015EC6" w:rsidRDefault="00744A43" w:rsidP="00744A43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12.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CA325D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Ökológiai információk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4717C4" w:rsidRPr="00015EC6" w:rsidRDefault="004717C4" w:rsidP="00501561">
      <w:pPr>
        <w:tabs>
          <w:tab w:val="left" w:pos="180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12.1. Toxicitás</w:t>
      </w:r>
      <w:r w:rsidR="00CA325D" w:rsidRPr="00015EC6">
        <w:rPr>
          <w:rFonts w:ascii="Century Gothic" w:hAnsi="Century Gothic" w:cs="Arial"/>
          <w:sz w:val="22"/>
          <w:szCs w:val="22"/>
        </w:rPr>
        <w:tab/>
        <w:t>nem állnak rendelkezésre adatok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12.2. Perzisztencia és lebonthatóság</w:t>
      </w:r>
      <w:r w:rsidRPr="00015EC6">
        <w:rPr>
          <w:rFonts w:ascii="Century Gothic" w:hAnsi="Century Gothic" w:cs="Arial"/>
          <w:sz w:val="22"/>
          <w:szCs w:val="22"/>
        </w:rPr>
        <w:tab/>
        <w:t>vízben nem oldható, biológiailag csak csekély mé</w:t>
      </w:r>
      <w:r w:rsidRPr="00015EC6">
        <w:rPr>
          <w:rFonts w:ascii="Century Gothic" w:hAnsi="Century Gothic" w:cs="Arial"/>
          <w:sz w:val="22"/>
          <w:szCs w:val="22"/>
        </w:rPr>
        <w:t>r</w:t>
      </w:r>
      <w:r w:rsidRPr="00015EC6">
        <w:rPr>
          <w:rFonts w:ascii="Century Gothic" w:hAnsi="Century Gothic" w:cs="Arial"/>
          <w:sz w:val="22"/>
          <w:szCs w:val="22"/>
        </w:rPr>
        <w:t>tékben lebomló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12.3. Bioakkumulációs képesség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12.4. A talajban való mobilitás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12.5. A PBT és vPvB értékelés eredményei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szennyvízkezelés esetén mechanikailag le kell választani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12.6 Egyéb káros hatások</w:t>
      </w:r>
      <w:r w:rsidRPr="00015EC6">
        <w:rPr>
          <w:rFonts w:ascii="Century Gothic" w:hAnsi="Century Gothic" w:cs="Arial"/>
          <w:sz w:val="22"/>
          <w:szCs w:val="22"/>
        </w:rPr>
        <w:tab/>
      </w:r>
      <w:r w:rsidR="00CA325D" w:rsidRPr="00015EC6">
        <w:rPr>
          <w:rFonts w:ascii="Century Gothic" w:hAnsi="Century Gothic" w:cs="Arial"/>
          <w:sz w:val="22"/>
          <w:szCs w:val="22"/>
        </w:rPr>
        <w:t>nem állnak rendelkezésre adatok</w:t>
      </w:r>
    </w:p>
    <w:p w:rsidR="00CA325D" w:rsidRPr="00015EC6" w:rsidRDefault="00CA325D" w:rsidP="00CA325D">
      <w:pPr>
        <w:rPr>
          <w:rFonts w:ascii="Century Gothic" w:hAnsi="Century Gothic"/>
          <w:sz w:val="22"/>
          <w:szCs w:val="22"/>
        </w:rPr>
      </w:pPr>
    </w:p>
    <w:p w:rsidR="00DA5182" w:rsidRPr="00015EC6" w:rsidRDefault="00DA5182" w:rsidP="00CA325D">
      <w:pPr>
        <w:rPr>
          <w:rFonts w:ascii="Century Gothic" w:hAnsi="Century Gothic"/>
          <w:sz w:val="22"/>
          <w:szCs w:val="22"/>
        </w:rPr>
      </w:pPr>
    </w:p>
    <w:p w:rsidR="00744A43" w:rsidRPr="00015EC6" w:rsidRDefault="00744A43" w:rsidP="00CA325D">
      <w:pPr>
        <w:rPr>
          <w:rFonts w:ascii="Century Gothic" w:hAnsi="Century Gothic"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13.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DA5182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Ártalmatlanítási szempontok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4717C4" w:rsidRPr="00015EC6" w:rsidRDefault="004717C4" w:rsidP="00F7118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13.1. Hulladékkezelési módszerek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termék hulladéka a veszélyes hulladék kategóriába tartozik. EWC kód: 13 02 05</w:t>
      </w:r>
    </w:p>
    <w:p w:rsidR="00744A43" w:rsidRPr="00015EC6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F77905" w:rsidRPr="00015EC6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termék csomagolásának hulladéka a veszélyes hulladék kategóriába tartozik. EWC kód 15 01 10</w:t>
      </w:r>
    </w:p>
    <w:p w:rsidR="00F77905" w:rsidRPr="00015EC6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F77905" w:rsidRPr="00015EC6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hulladékokat feliratozott, lezárt edényekben kell tárolni</w:t>
      </w:r>
    </w:p>
    <w:p w:rsidR="00F77905" w:rsidRPr="00015EC6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744A43" w:rsidRPr="00015EC6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hulladékok begyűjtését a 98/2001. (VI.15.) Korm. Rendelet alapján kell végezni.</w:t>
      </w:r>
      <w:r w:rsidR="00744A43" w:rsidRPr="00015EC6">
        <w:rPr>
          <w:rFonts w:ascii="Century Gothic" w:hAnsi="Century Gothic" w:cs="Arial"/>
          <w:sz w:val="22"/>
          <w:szCs w:val="22"/>
        </w:rPr>
        <w:tab/>
      </w:r>
    </w:p>
    <w:p w:rsidR="00F77905" w:rsidRPr="00015EC6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015EC6" w:rsidRDefault="00015EC6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015EC6" w:rsidRPr="00015EC6" w:rsidRDefault="00015EC6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744A43" w:rsidRPr="00015EC6" w:rsidRDefault="00744A43" w:rsidP="00744A43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14. 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DA5182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="00F77905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Szállításra vonatkozó információk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4717C4" w:rsidRPr="00015EC6" w:rsidRDefault="004717C4" w:rsidP="00F7118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F77905" w:rsidRPr="00015EC6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14.1. UN szám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F77905" w:rsidRPr="00015EC6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F77905" w:rsidRPr="00015EC6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14.2. Az ENSZ szerinti megfelelő szállítási megnevezés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14.3. Szállítási veszélyességi osztályok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14.4. Csomagolási csoport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21133C" w:rsidRPr="00015EC6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14.5. Környezeti veszélyek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14.6. A felhasználót érintő különleges óvintézkedések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14.7. A MARPOL 73/78 II. m. és az IBC kódex szerinti ömlesztett szállítás</w:t>
      </w:r>
      <w:r w:rsidRPr="00015EC6">
        <w:rPr>
          <w:rFonts w:ascii="Century Gothic" w:hAnsi="Century Gothic" w:cs="Arial"/>
          <w:sz w:val="22"/>
          <w:szCs w:val="22"/>
        </w:rPr>
        <w:tab/>
        <w:t>nincs</w:t>
      </w:r>
    </w:p>
    <w:p w:rsidR="004A662C" w:rsidRPr="00015EC6" w:rsidRDefault="004A662C" w:rsidP="00F7118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4A662C" w:rsidRPr="00015EC6" w:rsidRDefault="004A662C" w:rsidP="00F71181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DA5182" w:rsidRPr="00015EC6" w:rsidRDefault="00DA5182" w:rsidP="00DA5182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15.</w:t>
      </w:r>
      <w:r w:rsidR="0015314A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 SZAKASZ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 Szabályozással kapcsolatos információk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DA5182" w:rsidRPr="00015EC6" w:rsidRDefault="00DA5182" w:rsidP="00DA5182">
      <w:pPr>
        <w:spacing w:line="200" w:lineRule="exact"/>
        <w:rPr>
          <w:rFonts w:ascii="Century Gothic" w:hAnsi="Century Gothic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b/>
          <w:color w:val="7030A0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15.1. Az adott </w:t>
      </w:r>
      <w:r w:rsidR="0015314A" w:rsidRPr="00015EC6">
        <w:rPr>
          <w:rFonts w:ascii="Century Gothic" w:hAnsi="Century Gothic" w:cs="Arial"/>
          <w:b/>
          <w:color w:val="7030A0"/>
          <w:sz w:val="22"/>
          <w:szCs w:val="22"/>
        </w:rPr>
        <w:t xml:space="preserve">anyaggal vagy 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keverékkel kapcsolatos biztonsági, egészségügyi és környeze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t</w:t>
      </w: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védelmi előírások / jogszabályok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Európai Parlament és Tanács 1907/2006/EK rendelete a vegyi anyagok regisztrálásáról, értékeléséről, engedélyezéséről és korlátozásáról (REACH)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Európai Parlament és Tanács 1272/2008/EK rendelete az anyagok és keverékek oszt</w:t>
      </w:r>
      <w:r w:rsidRPr="00015EC6">
        <w:rPr>
          <w:rFonts w:ascii="Century Gothic" w:hAnsi="Century Gothic" w:cs="Arial"/>
          <w:sz w:val="22"/>
          <w:szCs w:val="22"/>
        </w:rPr>
        <w:t>á</w:t>
      </w:r>
      <w:r w:rsidRPr="00015EC6">
        <w:rPr>
          <w:rFonts w:ascii="Century Gothic" w:hAnsi="Century Gothic" w:cs="Arial"/>
          <w:sz w:val="22"/>
          <w:szCs w:val="22"/>
        </w:rPr>
        <w:t>lyozásáról, címkézéséről és csomagolásáról,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Az Európai Parlament és Tanács 453/2010/EK rendeletea vegyi anyagok regisztrálásáról, értékeléséről, engedélyezéséről és korlátozásáról (REACH) szóló 1907/2006/EK rendelet módosításáról </w:t>
      </w:r>
      <w:r w:rsidRPr="00015EC6">
        <w:rPr>
          <w:rFonts w:ascii="Century Gothic" w:hAnsi="Century Gothic" w:cs="Arial"/>
          <w:sz w:val="22"/>
          <w:szCs w:val="22"/>
        </w:rPr>
        <w:cr/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2000. évi XXV. törvény a kémiai biztonságról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  <w:u w:val="single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44/2000. (XII.27.) EüM rendelet a veszélyes anyagokkal és a veszélyes készítményekkel kapcsolatos egyes eljárások, illetve tevékenységek részletes szabályairól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98/2001. (VI. 15.) Korm. rendelet a veszélyes hulladékkal kapcsolatos tevékenységek vé</w:t>
      </w:r>
      <w:r w:rsidRPr="00015EC6">
        <w:rPr>
          <w:rFonts w:ascii="Century Gothic" w:hAnsi="Century Gothic" w:cs="Arial"/>
          <w:sz w:val="22"/>
          <w:szCs w:val="22"/>
        </w:rPr>
        <w:t>g</w:t>
      </w:r>
      <w:r w:rsidRPr="00015EC6">
        <w:rPr>
          <w:rFonts w:ascii="Century Gothic" w:hAnsi="Century Gothic" w:cs="Arial"/>
          <w:sz w:val="22"/>
          <w:szCs w:val="22"/>
        </w:rPr>
        <w:t>zésének feltételeiről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16/2001. (VII. 18.) és 10/ 2002. (III. 26.) KöM rendeletek a hulladékok jegyzékéről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94/2002.(V.5.) Korm. rendelet a csomagolásról és a csomagolási hulladék kezelésének részletes szabályairól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35/1996. (XII. 29.) BM rendeletaz Országos Tűzvédelmi Szabályzat kiadásáról</w:t>
      </w:r>
      <w:r w:rsidRPr="00015EC6">
        <w:rPr>
          <w:rFonts w:ascii="Century Gothic" w:hAnsi="Century Gothic" w:cs="Arial"/>
          <w:sz w:val="22"/>
          <w:szCs w:val="22"/>
        </w:rPr>
        <w:cr/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1993. évi XCIII. törvény a munkavédelemről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25/1996. (VIII. 28.) NM rendeletaz egészséget nem veszélyeztető munkavégzés és munk</w:t>
      </w:r>
      <w:r w:rsidRPr="00015EC6">
        <w:rPr>
          <w:rFonts w:ascii="Century Gothic" w:hAnsi="Century Gothic" w:cs="Arial"/>
          <w:sz w:val="22"/>
          <w:szCs w:val="22"/>
        </w:rPr>
        <w:t>a</w:t>
      </w:r>
      <w:r w:rsidRPr="00015EC6">
        <w:rPr>
          <w:rFonts w:ascii="Century Gothic" w:hAnsi="Century Gothic" w:cs="Arial"/>
          <w:sz w:val="22"/>
          <w:szCs w:val="22"/>
        </w:rPr>
        <w:t xml:space="preserve">körülmények általános </w:t>
      </w:r>
    </w:p>
    <w:p w:rsidR="00015EC6" w:rsidRPr="00015EC6" w:rsidRDefault="00DA5182" w:rsidP="00015EC6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egészségügyi követelményeiről </w:t>
      </w:r>
      <w:r w:rsidRPr="00015EC6">
        <w:rPr>
          <w:rFonts w:ascii="Century Gothic" w:hAnsi="Century Gothic" w:cs="Arial"/>
          <w:sz w:val="22"/>
          <w:szCs w:val="22"/>
        </w:rPr>
        <w:cr/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b/>
          <w:color w:val="7030A0"/>
          <w:sz w:val="22"/>
          <w:szCs w:val="22"/>
        </w:rPr>
        <w:t>15.2. Kémiai biztonsági értékelés</w:t>
      </w:r>
      <w:r w:rsidR="00DA5AB7" w:rsidRPr="00015EC6">
        <w:rPr>
          <w:rFonts w:ascii="Century Gothic" w:hAnsi="Century Gothic" w:cs="Arial"/>
          <w:b/>
          <w:color w:val="7030A0"/>
          <w:sz w:val="22"/>
          <w:szCs w:val="22"/>
        </w:rPr>
        <w:t>:</w:t>
      </w:r>
      <w:r w:rsidR="00DA5AB7" w:rsidRPr="00015EC6">
        <w:rPr>
          <w:rFonts w:ascii="Century Gothic" w:hAnsi="Century Gothic" w:cs="Arial"/>
          <w:sz w:val="22"/>
          <w:szCs w:val="22"/>
        </w:rPr>
        <w:t xml:space="preserve"> nem készült</w:t>
      </w: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Century Gothic" w:hAnsi="Century Gothic" w:cs="Arial"/>
          <w:sz w:val="22"/>
          <w:szCs w:val="22"/>
        </w:rPr>
      </w:pPr>
    </w:p>
    <w:p w:rsidR="00382DE7" w:rsidRPr="00015EC6" w:rsidRDefault="00382DE7" w:rsidP="00382DE7">
      <w:pPr>
        <w:spacing w:line="2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4A70BE" w:rsidRPr="00015EC6" w:rsidRDefault="004A70BE" w:rsidP="004A70BE">
      <w:pPr>
        <w:spacing w:line="300" w:lineRule="exact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16. </w:t>
      </w:r>
      <w:r w:rsidR="00DA5AB7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SZAKASZ</w:t>
      </w:r>
      <w:r w:rsidR="00DA5182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 xml:space="preserve">: </w:t>
      </w:r>
      <w:r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Egyéb információk</w:t>
      </w:r>
      <w:r w:rsidR="008F0DCE" w:rsidRPr="00015EC6">
        <w:rPr>
          <w:rFonts w:ascii="Century Gothic" w:hAnsi="Century Gothic" w:cs="Arial"/>
          <w:b/>
          <w:color w:val="FFFFFF" w:themeColor="background1"/>
          <w:sz w:val="22"/>
          <w:szCs w:val="22"/>
          <w:highlight w:val="darkGreen"/>
        </w:rPr>
        <w:t>:</w:t>
      </w:r>
    </w:p>
    <w:p w:rsidR="004A70BE" w:rsidRPr="00015EC6" w:rsidRDefault="004A70BE" w:rsidP="004A70BE">
      <w:pPr>
        <w:spacing w:line="3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4A70BE" w:rsidRPr="00015EC6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 xml:space="preserve">A 3. pontban szereplő R </w:t>
      </w:r>
      <w:r w:rsidR="000F2F86" w:rsidRPr="00015EC6">
        <w:rPr>
          <w:rFonts w:ascii="Century Gothic" w:hAnsi="Century Gothic" w:cs="Arial"/>
          <w:sz w:val="22"/>
          <w:szCs w:val="22"/>
        </w:rPr>
        <w:t xml:space="preserve">és H </w:t>
      </w:r>
      <w:r w:rsidRPr="00015EC6">
        <w:rPr>
          <w:rFonts w:ascii="Century Gothic" w:hAnsi="Century Gothic" w:cs="Arial"/>
          <w:sz w:val="22"/>
          <w:szCs w:val="22"/>
        </w:rPr>
        <w:t>mondatok</w:t>
      </w:r>
      <w:r w:rsidR="000F2F86" w:rsidRPr="00015EC6">
        <w:rPr>
          <w:rFonts w:ascii="Century Gothic" w:hAnsi="Century Gothic" w:cs="Arial"/>
          <w:sz w:val="22"/>
          <w:szCs w:val="22"/>
        </w:rPr>
        <w:t xml:space="preserve"> és a veszélyességi kategória / osztály</w:t>
      </w:r>
      <w:r w:rsidRPr="00015EC6">
        <w:rPr>
          <w:rFonts w:ascii="Century Gothic" w:hAnsi="Century Gothic" w:cs="Arial"/>
          <w:sz w:val="22"/>
          <w:szCs w:val="22"/>
        </w:rPr>
        <w:t xml:space="preserve"> teljes szövege</w:t>
      </w:r>
    </w:p>
    <w:p w:rsidR="009B29E2" w:rsidRPr="00015EC6" w:rsidRDefault="009B29E2" w:rsidP="00AA4847">
      <w:pPr>
        <w:spacing w:line="20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R22:Lenyelve ártalmas.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R41: Súlyos szemkárosodást okozhat.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R53: A vízi környezetben hosszantartó károsodást okozhat.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R51/53: Mérgező a vízi szervezetekre, a vízi környezetben hosszantartó károsodást okozhat.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H226: Tűzveszélyes folyadék és gőz.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H302: Lenyelve ártalmas.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H317: Allergiás bőrreakciót válthat ki.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H318: Súlyos szemkárosodást okoz.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H411: Mérgező a vízi élővilágra, hosszan tartó károsodást okoz.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AcuteTox. 4:</w:t>
      </w:r>
      <w:r w:rsidR="0009133B" w:rsidRPr="00015EC6">
        <w:rPr>
          <w:rFonts w:ascii="Century Gothic" w:hAnsi="Century Gothic" w:cs="Arial"/>
          <w:sz w:val="22"/>
          <w:szCs w:val="22"/>
        </w:rPr>
        <w:t xml:space="preserve"> Akut toxicitás 4. kategória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AquaticChronic 2:</w:t>
      </w:r>
      <w:r w:rsidR="0009133B" w:rsidRPr="00015EC6">
        <w:rPr>
          <w:rFonts w:ascii="Century Gothic" w:hAnsi="Century Gothic" w:cs="Arial"/>
          <w:sz w:val="22"/>
          <w:szCs w:val="22"/>
        </w:rPr>
        <w:t>A vízi környezetre veszélyes, krónikus 2. kategória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EyeDam. 1:</w:t>
      </w:r>
      <w:r w:rsidR="0009133B" w:rsidRPr="00015EC6">
        <w:rPr>
          <w:rFonts w:ascii="Century Gothic" w:hAnsi="Century Gothic" w:cs="Arial"/>
          <w:sz w:val="22"/>
          <w:szCs w:val="22"/>
        </w:rPr>
        <w:t>Súlyos szemkárosodás/szemirritáció 1. kategória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Flam. Liq. 3:</w:t>
      </w:r>
      <w:r w:rsidR="0009133B" w:rsidRPr="00015EC6">
        <w:rPr>
          <w:rFonts w:ascii="Century Gothic" w:hAnsi="Century Gothic" w:cs="Arial"/>
          <w:sz w:val="22"/>
          <w:szCs w:val="22"/>
        </w:rPr>
        <w:t>Tűzveszéleyes gázok 3. kategória</w:t>
      </w:r>
    </w:p>
    <w:p w:rsidR="00A92759" w:rsidRPr="00015EC6" w:rsidRDefault="00A92759" w:rsidP="00A92759">
      <w:pPr>
        <w:tabs>
          <w:tab w:val="left" w:pos="180"/>
          <w:tab w:val="left" w:pos="6521"/>
        </w:tabs>
        <w:spacing w:line="240" w:lineRule="exact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SkinSens. 1:</w:t>
      </w:r>
      <w:r w:rsidR="0009133B" w:rsidRPr="00015EC6">
        <w:rPr>
          <w:rFonts w:ascii="Century Gothic" w:hAnsi="Century Gothic" w:cs="Arial"/>
          <w:sz w:val="22"/>
          <w:szCs w:val="22"/>
        </w:rPr>
        <w:t>Bőrszenzibiláció 1. kategória</w:t>
      </w:r>
    </w:p>
    <w:p w:rsidR="000F2F86" w:rsidRPr="00015EC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Century Gothic" w:hAnsi="Century Gothic" w:cs="Arial"/>
          <w:sz w:val="22"/>
          <w:szCs w:val="22"/>
        </w:rPr>
      </w:pPr>
    </w:p>
    <w:p w:rsidR="004717C4" w:rsidRPr="00015EC6" w:rsidRDefault="004717C4" w:rsidP="000F2F86">
      <w:pPr>
        <w:spacing w:line="160" w:lineRule="exact"/>
        <w:rPr>
          <w:rFonts w:ascii="Century Gothic" w:hAnsi="Century Gothic" w:cs="Arial"/>
          <w:b/>
          <w:i/>
          <w:sz w:val="22"/>
          <w:szCs w:val="22"/>
          <w:u w:val="single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 megadott információk</w:t>
      </w:r>
      <w:r w:rsidR="00DA5AB7" w:rsidRPr="00015EC6">
        <w:rPr>
          <w:rFonts w:ascii="Century Gothic" w:hAnsi="Century Gothic" w:cs="Arial"/>
          <w:sz w:val="22"/>
          <w:szCs w:val="22"/>
        </w:rPr>
        <w:t xml:space="preserve"> a gyártói adatlapokon és</w:t>
      </w:r>
      <w:r w:rsidRPr="00015EC6">
        <w:rPr>
          <w:rFonts w:ascii="Century Gothic" w:hAnsi="Century Gothic" w:cs="Arial"/>
          <w:sz w:val="22"/>
          <w:szCs w:val="22"/>
        </w:rPr>
        <w:t xml:space="preserve"> a legújabb adatokon alapulnak és megf</w:t>
      </w:r>
      <w:r w:rsidRPr="00015EC6">
        <w:rPr>
          <w:rFonts w:ascii="Century Gothic" w:hAnsi="Century Gothic" w:cs="Arial"/>
          <w:sz w:val="22"/>
          <w:szCs w:val="22"/>
        </w:rPr>
        <w:t>e</w:t>
      </w:r>
      <w:r w:rsidRPr="00015EC6">
        <w:rPr>
          <w:rFonts w:ascii="Century Gothic" w:hAnsi="Century Gothic" w:cs="Arial"/>
          <w:sz w:val="22"/>
          <w:szCs w:val="22"/>
        </w:rPr>
        <w:t>lelnek a jelenleg érvényes veszélyes anyagokra és készítményekre vonatkozó előírásoknak, os</w:t>
      </w:r>
      <w:r w:rsidRPr="00015EC6">
        <w:rPr>
          <w:rFonts w:ascii="Century Gothic" w:hAnsi="Century Gothic" w:cs="Arial"/>
          <w:sz w:val="22"/>
          <w:szCs w:val="22"/>
        </w:rPr>
        <w:t>z</w:t>
      </w:r>
      <w:r w:rsidRPr="00015EC6">
        <w:rPr>
          <w:rFonts w:ascii="Century Gothic" w:hAnsi="Century Gothic" w:cs="Arial"/>
          <w:sz w:val="22"/>
          <w:szCs w:val="22"/>
        </w:rPr>
        <w:t>tályozásoknak, csomagolási és feliratozási szabályoknak. Nem foglalja magába azonban mi</w:t>
      </w:r>
      <w:r w:rsidRPr="00015EC6">
        <w:rPr>
          <w:rFonts w:ascii="Century Gothic" w:hAnsi="Century Gothic" w:cs="Arial"/>
          <w:sz w:val="22"/>
          <w:szCs w:val="22"/>
        </w:rPr>
        <w:t>n</w:t>
      </w:r>
      <w:r w:rsidRPr="00015EC6">
        <w:rPr>
          <w:rFonts w:ascii="Century Gothic" w:hAnsi="Century Gothic" w:cs="Arial"/>
          <w:sz w:val="22"/>
          <w:szCs w:val="22"/>
        </w:rPr>
        <w:t>den esetben az összes, kimerítő információt. A felhasználó felelőssége értékelni a biztonsági adatlap rá vonatkozó információit, az információk felhasználása és az ajánlások elfogadása.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DA5182" w:rsidRPr="00015EC6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1907/2006/EK rendelet a vegyi anyagok regisztrálásáról, értékeléséről, engedélyezéséről és korlátozásáról (REACH) 17. melléklete nem tartalmaz korlátozást a 3.2.-ben szereplő anyagokra vonatkozóan.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15EC6">
        <w:rPr>
          <w:rFonts w:ascii="Century Gothic" w:hAnsi="Century Gothic" w:cs="Arial"/>
          <w:sz w:val="22"/>
          <w:szCs w:val="22"/>
        </w:rPr>
        <w:t>Az Európai Parlament és Tanács 1272/2008/EK rendeletében nem szereplő anyagok tekintet</w:t>
      </w:r>
      <w:r w:rsidRPr="00015EC6">
        <w:rPr>
          <w:rFonts w:ascii="Century Gothic" w:hAnsi="Century Gothic" w:cs="Arial"/>
          <w:sz w:val="22"/>
          <w:szCs w:val="22"/>
        </w:rPr>
        <w:t>é</w:t>
      </w:r>
      <w:r w:rsidRPr="00015EC6">
        <w:rPr>
          <w:rFonts w:ascii="Century Gothic" w:hAnsi="Century Gothic" w:cs="Arial"/>
          <w:sz w:val="22"/>
          <w:szCs w:val="22"/>
        </w:rPr>
        <w:t>ben az alapanyag szállítójának adatlapján közölteket vettük figyelembe.</w:t>
      </w:r>
    </w:p>
    <w:p w:rsidR="00DA5182" w:rsidRPr="00015EC6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854"/>
        <w:gridCol w:w="5176"/>
        <w:gridCol w:w="1628"/>
        <w:gridCol w:w="1638"/>
      </w:tblGrid>
      <w:tr w:rsidR="00DA5182" w:rsidRPr="00015EC6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A5182" w:rsidRPr="00015EC6" w:rsidTr="004A662C">
        <w:tc>
          <w:tcPr>
            <w:tcW w:w="1497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15EC6">
              <w:rPr>
                <w:rFonts w:ascii="Century Gothic" w:hAnsi="Century Gothic" w:cs="Arial"/>
                <w:sz w:val="22"/>
                <w:szCs w:val="22"/>
              </w:rPr>
              <w:t>Változatszám</w:t>
            </w:r>
          </w:p>
        </w:tc>
      </w:tr>
      <w:tr w:rsidR="00DA5182" w:rsidRPr="00015EC6" w:rsidTr="004A662C">
        <w:tc>
          <w:tcPr>
            <w:tcW w:w="1497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10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DA5182" w:rsidRPr="00015EC6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4717C4" w:rsidRPr="00015EC6" w:rsidRDefault="004717C4" w:rsidP="00DA5182">
      <w:pPr>
        <w:tabs>
          <w:tab w:val="left" w:pos="180"/>
          <w:tab w:val="left" w:pos="6521"/>
        </w:tabs>
        <w:rPr>
          <w:rFonts w:ascii="Century Gothic" w:hAnsi="Century Gothic" w:cs="Arial"/>
          <w:sz w:val="22"/>
          <w:szCs w:val="22"/>
        </w:rPr>
      </w:pPr>
    </w:p>
    <w:sectPr w:rsidR="004717C4" w:rsidRPr="00015EC6" w:rsidSect="004A662C">
      <w:headerReference w:type="default" r:id="rId11"/>
      <w:footerReference w:type="default" r:id="rId12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80" w:rsidRDefault="00725080">
      <w:r>
        <w:separator/>
      </w:r>
    </w:p>
  </w:endnote>
  <w:endnote w:type="continuationSeparator" w:id="1">
    <w:p w:rsidR="00725080" w:rsidRDefault="0072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80" w:rsidRDefault="00725080">
      <w:r>
        <w:separator/>
      </w:r>
    </w:p>
  </w:footnote>
  <w:footnote w:type="continuationSeparator" w:id="1">
    <w:p w:rsidR="00725080" w:rsidRDefault="00725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CE" w:rsidRDefault="008F0DCE" w:rsidP="00530E95">
    <w:pPr>
      <w:pStyle w:val="lfej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>
          <wp:extent cx="972820" cy="494665"/>
          <wp:effectExtent l="1905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DCE" w:rsidRPr="008F0DCE" w:rsidRDefault="008F0DCE" w:rsidP="00530E95">
    <w:pPr>
      <w:pStyle w:val="lfej"/>
      <w:jc w:val="center"/>
      <w:rPr>
        <w:rFonts w:ascii="Century Gothic" w:hAnsi="Century Gothic" w:cs="Arial"/>
        <w:sz w:val="28"/>
        <w:szCs w:val="28"/>
      </w:rPr>
    </w:pPr>
  </w:p>
  <w:p w:rsidR="00530E95" w:rsidRPr="008F0DCE" w:rsidRDefault="00530E95" w:rsidP="00530E95">
    <w:pPr>
      <w:pStyle w:val="lfej"/>
      <w:jc w:val="center"/>
      <w:rPr>
        <w:rFonts w:ascii="Century Gothic" w:hAnsi="Century Gothic" w:cs="Arial"/>
        <w:b/>
        <w:sz w:val="28"/>
        <w:szCs w:val="28"/>
      </w:rPr>
    </w:pPr>
    <w:r w:rsidRPr="008F0DCE">
      <w:rPr>
        <w:rFonts w:ascii="Century Gothic" w:hAnsi="Century Gothic" w:cs="Arial"/>
        <w:b/>
        <w:sz w:val="28"/>
        <w:szCs w:val="28"/>
      </w:rPr>
      <w:t>BIZTONSÁGI ADATLAP</w:t>
    </w:r>
  </w:p>
  <w:p w:rsidR="00CE2EEE" w:rsidRPr="008F0DCE" w:rsidRDefault="00CE2EEE" w:rsidP="00530E95">
    <w:pPr>
      <w:pStyle w:val="lfej"/>
      <w:jc w:val="center"/>
      <w:rPr>
        <w:rFonts w:ascii="Century Gothic" w:hAnsi="Century Gothic" w:cs="Arial"/>
        <w:sz w:val="16"/>
        <w:szCs w:val="16"/>
      </w:rPr>
    </w:pPr>
    <w:r w:rsidRPr="008F0DCE">
      <w:rPr>
        <w:rFonts w:ascii="Century Gothic" w:hAnsi="Century Gothic" w:cs="Arial"/>
        <w:sz w:val="16"/>
        <w:szCs w:val="16"/>
      </w:rPr>
      <w:t>A 453/2010 sz. EK rendeletnek megfelelően</w:t>
    </w:r>
  </w:p>
  <w:p w:rsidR="008F0DCE" w:rsidRPr="008F0DCE" w:rsidRDefault="008F0DCE" w:rsidP="00530E95">
    <w:pPr>
      <w:pStyle w:val="lfej"/>
      <w:jc w:val="center"/>
      <w:rPr>
        <w:rFonts w:ascii="Century Gothic" w:hAnsi="Century Gothic" w:cs="Arial"/>
        <w:sz w:val="16"/>
        <w:szCs w:val="16"/>
      </w:rPr>
    </w:pPr>
  </w:p>
  <w:p w:rsidR="00530E95" w:rsidRPr="008F0DCE" w:rsidRDefault="008F0DCE" w:rsidP="00530E95">
    <w:pPr>
      <w:pStyle w:val="lfej"/>
      <w:jc w:val="center"/>
      <w:rPr>
        <w:rFonts w:ascii="Century Gothic" w:hAnsi="Century Gothic" w:cs="Arial"/>
        <w:b/>
      </w:rPr>
    </w:pPr>
    <w:r w:rsidRPr="008F0DCE">
      <w:rPr>
        <w:rFonts w:ascii="Century Gothic" w:hAnsi="Century Gothic" w:cs="Arial"/>
        <w:b/>
      </w:rPr>
      <w:t>SPICA 80W/90 HAJTÓMŰOLAJ</w:t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8F0DCE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8F0DCE" w:rsidRDefault="00530E95" w:rsidP="00671559">
          <w:pPr>
            <w:pStyle w:val="lfej"/>
            <w:jc w:val="both"/>
            <w:rPr>
              <w:rFonts w:ascii="Century Gothic" w:hAnsi="Century Gothic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530E95" w:rsidRPr="008F0DCE" w:rsidRDefault="00530E95" w:rsidP="00671559">
          <w:pPr>
            <w:pStyle w:val="lfej"/>
            <w:jc w:val="center"/>
            <w:rPr>
              <w:rFonts w:ascii="Century Gothic" w:hAnsi="Century Gothic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8F0DCE" w:rsidRPr="008F0DCE" w:rsidRDefault="008F0DCE" w:rsidP="00671559">
          <w:pPr>
            <w:pStyle w:val="lfej"/>
            <w:jc w:val="right"/>
            <w:rPr>
              <w:rFonts w:ascii="Century Gothic" w:hAnsi="Century Gothic" w:cs="Arial"/>
              <w:sz w:val="20"/>
              <w:szCs w:val="20"/>
            </w:rPr>
          </w:pPr>
        </w:p>
        <w:p w:rsidR="002225EA" w:rsidRPr="008F0DCE" w:rsidRDefault="002225EA" w:rsidP="00671559">
          <w:pPr>
            <w:pStyle w:val="lfej"/>
            <w:jc w:val="right"/>
            <w:rPr>
              <w:rFonts w:ascii="Century Gothic" w:hAnsi="Century Gothic" w:cs="Arial"/>
              <w:sz w:val="20"/>
              <w:szCs w:val="20"/>
            </w:rPr>
          </w:pPr>
          <w:r w:rsidRPr="008F0DCE">
            <w:rPr>
              <w:rFonts w:ascii="Century Gothic" w:hAnsi="Century Gothic" w:cs="Arial"/>
              <w:sz w:val="20"/>
              <w:szCs w:val="20"/>
            </w:rPr>
            <w:t>Kiállítás dátuma:</w:t>
          </w:r>
          <w:r w:rsidR="00987669">
            <w:rPr>
              <w:rFonts w:ascii="Century Gothic" w:hAnsi="Century Gothic" w:cs="Arial"/>
              <w:sz w:val="20"/>
              <w:szCs w:val="20"/>
            </w:rPr>
            <w:t>2015.09.09.</w:t>
          </w:r>
        </w:p>
        <w:p w:rsidR="00530E95" w:rsidRPr="008F0DCE" w:rsidRDefault="002225EA" w:rsidP="00671559">
          <w:pPr>
            <w:pStyle w:val="lfej"/>
            <w:jc w:val="right"/>
            <w:rPr>
              <w:rFonts w:ascii="Century Gothic" w:hAnsi="Century Gothic" w:cs="Arial"/>
              <w:sz w:val="20"/>
              <w:szCs w:val="20"/>
            </w:rPr>
          </w:pPr>
          <w:r w:rsidRPr="008F0DCE">
            <w:rPr>
              <w:rFonts w:ascii="Century Gothic" w:hAnsi="Century Gothic" w:cs="Arial"/>
              <w:sz w:val="20"/>
              <w:szCs w:val="20"/>
            </w:rPr>
            <w:t>Oldal</w:t>
          </w:r>
          <w:r w:rsidR="00530E95" w:rsidRPr="008F0DCE">
            <w:rPr>
              <w:rFonts w:ascii="Century Gothic" w:hAnsi="Century Gothic" w:cs="Arial"/>
              <w:sz w:val="20"/>
              <w:szCs w:val="20"/>
            </w:rPr>
            <w:t>:</w:t>
          </w:r>
          <w:r w:rsidR="00A97D83" w:rsidRPr="008F0DCE">
            <w:rPr>
              <w:rFonts w:ascii="Century Gothic" w:hAnsi="Century Gothic" w:cs="Arial"/>
              <w:sz w:val="20"/>
              <w:szCs w:val="20"/>
            </w:rPr>
            <w:fldChar w:fldCharType="begin"/>
          </w:r>
          <w:r w:rsidR="00C911BC" w:rsidRPr="008F0DCE">
            <w:rPr>
              <w:rFonts w:ascii="Century Gothic" w:hAnsi="Century Gothic" w:cs="Arial"/>
              <w:sz w:val="20"/>
              <w:szCs w:val="20"/>
            </w:rPr>
            <w:instrText>PAGE   \* MERGEFORMAT</w:instrText>
          </w:r>
          <w:r w:rsidR="00A97D83" w:rsidRPr="008F0DCE">
            <w:rPr>
              <w:rFonts w:ascii="Century Gothic" w:hAnsi="Century Gothic" w:cs="Arial"/>
              <w:sz w:val="20"/>
              <w:szCs w:val="20"/>
            </w:rPr>
            <w:fldChar w:fldCharType="separate"/>
          </w:r>
          <w:r w:rsidR="006E4F47">
            <w:rPr>
              <w:rFonts w:ascii="Century Gothic" w:hAnsi="Century Gothic" w:cs="Arial"/>
              <w:noProof/>
              <w:sz w:val="20"/>
              <w:szCs w:val="20"/>
            </w:rPr>
            <w:t>4</w:t>
          </w:r>
          <w:r w:rsidR="00A97D83" w:rsidRPr="008F0DCE">
            <w:rPr>
              <w:rFonts w:ascii="Century Gothic" w:hAnsi="Century Gothic" w:cs="Arial"/>
              <w:sz w:val="20"/>
              <w:szCs w:val="20"/>
            </w:rPr>
            <w:fldChar w:fldCharType="end"/>
          </w:r>
          <w:r w:rsidR="005D7DD3">
            <w:rPr>
              <w:rFonts w:ascii="Century Gothic" w:hAnsi="Century Gothic" w:cs="Arial"/>
              <w:sz w:val="20"/>
              <w:szCs w:val="20"/>
            </w:rPr>
            <w:t>/8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15EC6"/>
    <w:rsid w:val="00031CCC"/>
    <w:rsid w:val="00033953"/>
    <w:rsid w:val="00035905"/>
    <w:rsid w:val="00043996"/>
    <w:rsid w:val="00057B0D"/>
    <w:rsid w:val="00065221"/>
    <w:rsid w:val="000713BF"/>
    <w:rsid w:val="0009133B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2393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2588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C23F7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D7DD3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E4F47"/>
    <w:rsid w:val="006F282F"/>
    <w:rsid w:val="0070442A"/>
    <w:rsid w:val="00717716"/>
    <w:rsid w:val="00717781"/>
    <w:rsid w:val="0072235C"/>
    <w:rsid w:val="00725080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A713D"/>
    <w:rsid w:val="008E74FF"/>
    <w:rsid w:val="008F0DCE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87669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2759"/>
    <w:rsid w:val="00A9322B"/>
    <w:rsid w:val="00A97D83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367DD"/>
    <w:rsid w:val="00B406C3"/>
    <w:rsid w:val="00B413F1"/>
    <w:rsid w:val="00B478FA"/>
    <w:rsid w:val="00B50285"/>
    <w:rsid w:val="00B5241B"/>
    <w:rsid w:val="00B5645E"/>
    <w:rsid w:val="00B669A0"/>
    <w:rsid w:val="00B75E0E"/>
    <w:rsid w:val="00B916A5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61A8F"/>
    <w:rsid w:val="00C6781F"/>
    <w:rsid w:val="00C74084"/>
    <w:rsid w:val="00C75B7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94924"/>
    <w:rsid w:val="00DA0FF1"/>
    <w:rsid w:val="00DA5182"/>
    <w:rsid w:val="00DA5AB7"/>
    <w:rsid w:val="00DA5B8B"/>
    <w:rsid w:val="00DC1848"/>
    <w:rsid w:val="00DD120A"/>
    <w:rsid w:val="00DE5EF2"/>
    <w:rsid w:val="00DF5689"/>
    <w:rsid w:val="00E059F1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A72FA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23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1634-65E6-4FD7-B5E6-9D7E5E2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1780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6</cp:revision>
  <cp:lastPrinted>2015-11-03T13:39:00Z</cp:lastPrinted>
  <dcterms:created xsi:type="dcterms:W3CDTF">2015-09-09T08:38:00Z</dcterms:created>
  <dcterms:modified xsi:type="dcterms:W3CDTF">2015-11-03T13:42:00Z</dcterms:modified>
</cp:coreProperties>
</file>